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C55D3" w14:textId="5A55337C" w:rsidR="00CF12A2" w:rsidRDefault="00086C43" w:rsidP="00CF12A2">
      <w:pPr>
        <w:spacing w:line="360" w:lineRule="auto"/>
        <w:jc w:val="center"/>
        <w:rPr>
          <w:rFonts w:ascii="Times New Roman" w:hAnsi="Times New Roman" w:cs="Times New Roman"/>
          <w:b/>
          <w:bCs/>
          <w:sz w:val="32"/>
          <w:szCs w:val="32"/>
        </w:rPr>
      </w:pPr>
      <w:r w:rsidRPr="00AA1E86">
        <w:rPr>
          <w:rFonts w:ascii="Times New Roman" w:hAnsi="Times New Roman" w:cs="Times New Roman"/>
          <w:b/>
          <w:bCs/>
          <w:sz w:val="32"/>
          <w:szCs w:val="32"/>
        </w:rPr>
        <w:t>Book Review</w:t>
      </w:r>
    </w:p>
    <w:p w14:paraId="006E57A8" w14:textId="77777777" w:rsidR="0062454A" w:rsidRPr="00CF12A2" w:rsidRDefault="0062454A" w:rsidP="005B39F8">
      <w:pPr>
        <w:spacing w:line="276" w:lineRule="auto"/>
        <w:contextualSpacing/>
        <w:jc w:val="right"/>
        <w:rPr>
          <w:rFonts w:ascii="Times New Roman" w:hAnsi="Times New Roman" w:cs="Times New Roman"/>
          <w:sz w:val="20"/>
          <w:szCs w:val="20"/>
        </w:rPr>
      </w:pPr>
      <w:proofErr w:type="spellStart"/>
      <w:r w:rsidRPr="00CF12A2">
        <w:rPr>
          <w:rFonts w:ascii="Times New Roman" w:hAnsi="Times New Roman" w:cs="Times New Roman"/>
          <w:sz w:val="20"/>
          <w:szCs w:val="20"/>
        </w:rPr>
        <w:t>Ashlesha</w:t>
      </w:r>
      <w:proofErr w:type="spellEnd"/>
      <w:r w:rsidRPr="00CF12A2">
        <w:rPr>
          <w:rFonts w:ascii="Times New Roman" w:hAnsi="Times New Roman" w:cs="Times New Roman"/>
          <w:sz w:val="20"/>
          <w:szCs w:val="20"/>
        </w:rPr>
        <w:t xml:space="preserve"> Goswami</w:t>
      </w:r>
    </w:p>
    <w:p w14:paraId="24258B8B" w14:textId="77777777" w:rsidR="0062454A" w:rsidRPr="00CF12A2" w:rsidRDefault="0062454A" w:rsidP="005B39F8">
      <w:pPr>
        <w:spacing w:line="276" w:lineRule="auto"/>
        <w:contextualSpacing/>
        <w:jc w:val="right"/>
        <w:rPr>
          <w:rFonts w:ascii="Times New Roman" w:hAnsi="Times New Roman" w:cs="Times New Roman"/>
          <w:sz w:val="20"/>
          <w:szCs w:val="20"/>
        </w:rPr>
      </w:pPr>
      <w:r w:rsidRPr="00CF12A2">
        <w:rPr>
          <w:rFonts w:ascii="Times New Roman" w:hAnsi="Times New Roman" w:cs="Times New Roman"/>
          <w:sz w:val="20"/>
          <w:szCs w:val="20"/>
        </w:rPr>
        <w:t>Research Scholar &amp; Project Associate</w:t>
      </w:r>
    </w:p>
    <w:p w14:paraId="4F672039" w14:textId="04E1170A" w:rsidR="0062454A" w:rsidRDefault="0062454A" w:rsidP="005B39F8">
      <w:pPr>
        <w:spacing w:line="276" w:lineRule="auto"/>
        <w:contextualSpacing/>
        <w:jc w:val="right"/>
        <w:rPr>
          <w:rFonts w:ascii="Times New Roman" w:hAnsi="Times New Roman" w:cs="Times New Roman"/>
          <w:b/>
          <w:bCs/>
          <w:sz w:val="24"/>
          <w:szCs w:val="24"/>
        </w:rPr>
      </w:pPr>
      <w:r>
        <w:rPr>
          <w:rFonts w:ascii="Times New Roman" w:hAnsi="Times New Roman" w:cs="Times New Roman"/>
          <w:sz w:val="20"/>
          <w:szCs w:val="20"/>
        </w:rPr>
        <w:t xml:space="preserve"> </w:t>
      </w:r>
      <w:r w:rsidRPr="00CF12A2">
        <w:rPr>
          <w:rFonts w:ascii="Times New Roman" w:hAnsi="Times New Roman" w:cs="Times New Roman"/>
          <w:sz w:val="20"/>
          <w:szCs w:val="20"/>
        </w:rPr>
        <w:t>Department of Sanskrit, Gauhati University</w:t>
      </w:r>
      <w:r>
        <w:rPr>
          <w:rFonts w:ascii="Times New Roman" w:hAnsi="Times New Roman" w:cs="Times New Roman"/>
          <w:b/>
          <w:bCs/>
          <w:sz w:val="24"/>
          <w:szCs w:val="24"/>
        </w:rPr>
        <w:t>.</w:t>
      </w:r>
    </w:p>
    <w:p w14:paraId="4A3D7F92" w14:textId="77777777" w:rsidR="0062454A" w:rsidRPr="00255A42" w:rsidRDefault="0062454A" w:rsidP="0062454A">
      <w:pPr>
        <w:spacing w:line="240" w:lineRule="auto"/>
        <w:contextualSpacing/>
        <w:jc w:val="right"/>
        <w:rPr>
          <w:rFonts w:ascii="Times New Roman" w:hAnsi="Times New Roman" w:cs="Times New Roman"/>
          <w:b/>
          <w:bCs/>
          <w:sz w:val="24"/>
          <w:szCs w:val="24"/>
        </w:rPr>
      </w:pPr>
    </w:p>
    <w:p w14:paraId="45FFFE7B" w14:textId="3453F2EF" w:rsidR="0062454A" w:rsidRPr="0062454A" w:rsidRDefault="0062454A" w:rsidP="0062454A">
      <w:pPr>
        <w:spacing w:line="360" w:lineRule="auto"/>
        <w:rPr>
          <w:rFonts w:ascii="Times New Roman" w:hAnsi="Times New Roman" w:cs="Times New Roman"/>
          <w:b/>
          <w:bCs/>
          <w:sz w:val="32"/>
          <w:szCs w:val="32"/>
        </w:rPr>
      </w:pPr>
      <w:r w:rsidRPr="00D20F22">
        <w:rPr>
          <w:rFonts w:ascii="Times New Roman" w:eastAsia="Times New Roman" w:hAnsi="Times New Roman" w:cs="Times New Roman"/>
          <w:lang w:eastAsia="en-GB" w:bidi="hi-IN"/>
        </w:rPr>
        <w:fldChar w:fldCharType="begin"/>
      </w:r>
      <w:r w:rsidRPr="00D20F22">
        <w:rPr>
          <w:rFonts w:ascii="Times New Roman" w:eastAsia="Times New Roman" w:hAnsi="Times New Roman" w:cs="Times New Roman"/>
          <w:lang w:eastAsia="en-GB" w:bidi="hi-IN"/>
        </w:rPr>
        <w:instrText xml:space="preserve"> INCLUDEPICTURE "/var/folders/bf/2gqmdx8n3f34rlpkzzy98_yc0000gn/T/com.microsoft.Word/WebArchiveCopyPasteTempFiles/page1image59140464" \* MERGEFORMATINET </w:instrText>
      </w:r>
      <w:r w:rsidRPr="00D20F22">
        <w:rPr>
          <w:rFonts w:ascii="Times New Roman" w:eastAsia="Times New Roman" w:hAnsi="Times New Roman" w:cs="Times New Roman"/>
          <w:lang w:eastAsia="en-GB" w:bidi="hi-IN"/>
        </w:rPr>
        <w:fldChar w:fldCharType="separate"/>
      </w:r>
      <w:r w:rsidRPr="00D20F22">
        <w:rPr>
          <w:rFonts w:ascii="Times New Roman" w:eastAsia="Times New Roman" w:hAnsi="Times New Roman" w:cs="Times New Roman"/>
          <w:noProof/>
          <w:lang w:eastAsia="en-GB" w:bidi="hi-IN"/>
        </w:rPr>
        <w:drawing>
          <wp:inline distT="0" distB="0" distL="0" distR="0" wp14:anchorId="24419008" wp14:editId="023F49CB">
            <wp:extent cx="887323" cy="1262743"/>
            <wp:effectExtent l="0" t="0" r="1905" b="0"/>
            <wp:docPr id="1" name="Picture 1" descr="page1image5914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914046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6347" cy="1332509"/>
                    </a:xfrm>
                    <a:prstGeom prst="rect">
                      <a:avLst/>
                    </a:prstGeom>
                    <a:noFill/>
                    <a:ln>
                      <a:noFill/>
                    </a:ln>
                  </pic:spPr>
                </pic:pic>
              </a:graphicData>
            </a:graphic>
          </wp:inline>
        </w:drawing>
      </w:r>
      <w:r w:rsidRPr="00D20F22">
        <w:rPr>
          <w:rFonts w:ascii="Times New Roman" w:eastAsia="Times New Roman" w:hAnsi="Times New Roman" w:cs="Times New Roman"/>
          <w:lang w:eastAsia="en-GB" w:bidi="hi-IN"/>
        </w:rPr>
        <w:fldChar w:fldCharType="end"/>
      </w:r>
    </w:p>
    <w:p w14:paraId="4CAB98E3" w14:textId="428D68F3" w:rsidR="00086C43" w:rsidRPr="00086C43" w:rsidRDefault="00086C43" w:rsidP="00CF12A2">
      <w:pPr>
        <w:spacing w:line="360" w:lineRule="auto"/>
        <w:jc w:val="both"/>
        <w:rPr>
          <w:rFonts w:ascii="Times New Roman" w:hAnsi="Times New Roman" w:cs="Times New Roman"/>
          <w:sz w:val="24"/>
          <w:szCs w:val="24"/>
        </w:rPr>
      </w:pPr>
      <w:r w:rsidRPr="00AA1E86">
        <w:rPr>
          <w:rFonts w:ascii="Times New Roman" w:hAnsi="Times New Roman" w:cs="Times New Roman"/>
          <w:b/>
          <w:bCs/>
          <w:sz w:val="24"/>
          <w:szCs w:val="24"/>
        </w:rPr>
        <w:t>Title</w:t>
      </w:r>
      <w:r w:rsidRPr="00086C43">
        <w:rPr>
          <w:rFonts w:ascii="Times New Roman" w:hAnsi="Times New Roman" w:cs="Times New Roman"/>
          <w:sz w:val="24"/>
          <w:szCs w:val="24"/>
        </w:rPr>
        <w:t>: Some Aspects of Manuscriptology</w:t>
      </w:r>
    </w:p>
    <w:p w14:paraId="6E15255D" w14:textId="77777777" w:rsidR="00086C43" w:rsidRPr="00086C43" w:rsidRDefault="00086C43" w:rsidP="00CF12A2">
      <w:pPr>
        <w:spacing w:line="360" w:lineRule="auto"/>
        <w:jc w:val="both"/>
        <w:rPr>
          <w:rFonts w:ascii="Times New Roman" w:hAnsi="Times New Roman" w:cs="Times New Roman"/>
          <w:sz w:val="24"/>
          <w:szCs w:val="24"/>
        </w:rPr>
      </w:pPr>
      <w:r w:rsidRPr="00AA1E86">
        <w:rPr>
          <w:rFonts w:ascii="Times New Roman" w:hAnsi="Times New Roman" w:cs="Times New Roman"/>
          <w:b/>
          <w:bCs/>
          <w:sz w:val="24"/>
          <w:szCs w:val="24"/>
        </w:rPr>
        <w:t>Editors</w:t>
      </w:r>
      <w:r w:rsidRPr="00086C43">
        <w:rPr>
          <w:rFonts w:ascii="Times New Roman" w:hAnsi="Times New Roman" w:cs="Times New Roman"/>
          <w:sz w:val="24"/>
          <w:szCs w:val="24"/>
        </w:rPr>
        <w:t>: Dr. Manashi Sharma and Aniruddha Dutta</w:t>
      </w:r>
    </w:p>
    <w:p w14:paraId="3C474604" w14:textId="77777777" w:rsidR="00086C43" w:rsidRPr="00086C43" w:rsidRDefault="00086C43" w:rsidP="00CF12A2">
      <w:pPr>
        <w:spacing w:line="360" w:lineRule="auto"/>
        <w:jc w:val="both"/>
        <w:rPr>
          <w:rFonts w:ascii="Times New Roman" w:hAnsi="Times New Roman" w:cs="Times New Roman"/>
          <w:sz w:val="24"/>
          <w:szCs w:val="24"/>
        </w:rPr>
      </w:pPr>
      <w:r w:rsidRPr="00AA1E86">
        <w:rPr>
          <w:rFonts w:ascii="Times New Roman" w:hAnsi="Times New Roman" w:cs="Times New Roman"/>
          <w:b/>
          <w:bCs/>
          <w:sz w:val="24"/>
          <w:szCs w:val="24"/>
        </w:rPr>
        <w:t>Publisher</w:t>
      </w:r>
      <w:r w:rsidRPr="00086C43">
        <w:rPr>
          <w:rFonts w:ascii="Times New Roman" w:hAnsi="Times New Roman" w:cs="Times New Roman"/>
          <w:sz w:val="24"/>
          <w:szCs w:val="24"/>
        </w:rPr>
        <w:t>: Manohari Devi Kanoi Girls' College, Dibrugarh, Assam</w:t>
      </w:r>
    </w:p>
    <w:p w14:paraId="1555CA38" w14:textId="77777777" w:rsidR="00086C43" w:rsidRPr="00086C43" w:rsidRDefault="00086C43" w:rsidP="00CF12A2">
      <w:pPr>
        <w:spacing w:line="360" w:lineRule="auto"/>
        <w:jc w:val="both"/>
        <w:rPr>
          <w:rFonts w:ascii="Times New Roman" w:hAnsi="Times New Roman" w:cs="Times New Roman"/>
          <w:sz w:val="24"/>
          <w:szCs w:val="24"/>
        </w:rPr>
      </w:pPr>
      <w:r w:rsidRPr="00AA1E86">
        <w:rPr>
          <w:rFonts w:ascii="Times New Roman" w:hAnsi="Times New Roman" w:cs="Times New Roman"/>
          <w:b/>
          <w:bCs/>
          <w:sz w:val="24"/>
          <w:szCs w:val="24"/>
        </w:rPr>
        <w:t>First Edition</w:t>
      </w:r>
      <w:r w:rsidRPr="00086C43">
        <w:rPr>
          <w:rFonts w:ascii="Times New Roman" w:hAnsi="Times New Roman" w:cs="Times New Roman"/>
          <w:sz w:val="24"/>
          <w:szCs w:val="24"/>
        </w:rPr>
        <w:t>: 2023</w:t>
      </w:r>
    </w:p>
    <w:p w14:paraId="173B73C1" w14:textId="77777777" w:rsidR="00086C43" w:rsidRPr="00086C43" w:rsidRDefault="00086C43" w:rsidP="00CF12A2">
      <w:pPr>
        <w:spacing w:line="360" w:lineRule="auto"/>
        <w:jc w:val="both"/>
        <w:rPr>
          <w:rFonts w:ascii="Times New Roman" w:hAnsi="Times New Roman" w:cs="Times New Roman"/>
          <w:sz w:val="24"/>
          <w:szCs w:val="24"/>
        </w:rPr>
      </w:pPr>
      <w:r w:rsidRPr="00AA1E86">
        <w:rPr>
          <w:rFonts w:ascii="Times New Roman" w:hAnsi="Times New Roman" w:cs="Times New Roman"/>
          <w:b/>
          <w:bCs/>
          <w:sz w:val="24"/>
          <w:szCs w:val="24"/>
        </w:rPr>
        <w:t>ISBN</w:t>
      </w:r>
      <w:r w:rsidRPr="00086C43">
        <w:rPr>
          <w:rFonts w:ascii="Times New Roman" w:hAnsi="Times New Roman" w:cs="Times New Roman"/>
          <w:sz w:val="24"/>
          <w:szCs w:val="24"/>
        </w:rPr>
        <w:t>: 978-93-5967-933-4</w:t>
      </w:r>
    </w:p>
    <w:p w14:paraId="296E0F86" w14:textId="5ED4696F" w:rsidR="00086C43" w:rsidRDefault="00086C43" w:rsidP="00CF12A2">
      <w:pPr>
        <w:spacing w:line="360" w:lineRule="auto"/>
        <w:jc w:val="both"/>
        <w:rPr>
          <w:rFonts w:ascii="Times New Roman" w:hAnsi="Times New Roman" w:cs="Times New Roman"/>
          <w:sz w:val="24"/>
          <w:szCs w:val="24"/>
        </w:rPr>
      </w:pPr>
      <w:r w:rsidRPr="00AA1E86">
        <w:rPr>
          <w:rFonts w:ascii="Times New Roman" w:hAnsi="Times New Roman" w:cs="Times New Roman"/>
          <w:b/>
          <w:bCs/>
          <w:sz w:val="24"/>
          <w:szCs w:val="24"/>
        </w:rPr>
        <w:t>Price</w:t>
      </w:r>
      <w:r w:rsidRPr="00086C43">
        <w:rPr>
          <w:rFonts w:ascii="Times New Roman" w:hAnsi="Times New Roman" w:cs="Times New Roman"/>
          <w:sz w:val="24"/>
          <w:szCs w:val="24"/>
        </w:rPr>
        <w:t>: Rs. 280/-</w:t>
      </w:r>
    </w:p>
    <w:p w14:paraId="76734C46" w14:textId="28B5D91D" w:rsidR="00086C43" w:rsidRDefault="00086C43" w:rsidP="00CF12A2">
      <w:pPr>
        <w:spacing w:line="360" w:lineRule="auto"/>
        <w:jc w:val="both"/>
        <w:rPr>
          <w:rFonts w:ascii="Times New Roman" w:hAnsi="Times New Roman" w:cs="Times New Roman"/>
          <w:sz w:val="24"/>
          <w:szCs w:val="24"/>
        </w:rPr>
      </w:pPr>
      <w:r w:rsidRPr="00AA1E86">
        <w:rPr>
          <w:rFonts w:ascii="Times New Roman" w:hAnsi="Times New Roman" w:cs="Times New Roman"/>
          <w:b/>
          <w:bCs/>
          <w:sz w:val="24"/>
          <w:szCs w:val="24"/>
        </w:rPr>
        <w:t>No. of pages</w:t>
      </w:r>
      <w:r>
        <w:rPr>
          <w:rFonts w:ascii="Times New Roman" w:hAnsi="Times New Roman" w:cs="Times New Roman"/>
          <w:sz w:val="24"/>
          <w:szCs w:val="24"/>
        </w:rPr>
        <w:t>: 155</w:t>
      </w:r>
    </w:p>
    <w:p w14:paraId="6356E8F4" w14:textId="77777777" w:rsidR="005B39F8" w:rsidRDefault="005B39F8" w:rsidP="00CF12A2">
      <w:pPr>
        <w:spacing w:line="360" w:lineRule="auto"/>
        <w:jc w:val="both"/>
        <w:rPr>
          <w:rFonts w:ascii="Times New Roman" w:hAnsi="Times New Roman" w:cs="Times New Roman"/>
          <w:sz w:val="24"/>
          <w:szCs w:val="24"/>
        </w:rPr>
      </w:pPr>
    </w:p>
    <w:p w14:paraId="702647C6" w14:textId="783FAF5C" w:rsidR="00AA1E86" w:rsidRDefault="00086C43" w:rsidP="00CF12A2">
      <w:pPr>
        <w:spacing w:line="360" w:lineRule="auto"/>
        <w:jc w:val="both"/>
        <w:rPr>
          <w:rFonts w:ascii="Times New Roman" w:hAnsi="Times New Roman" w:cs="Times New Roman"/>
          <w:sz w:val="24"/>
          <w:szCs w:val="24"/>
        </w:rPr>
      </w:pPr>
      <w:r w:rsidRPr="00086C43">
        <w:rPr>
          <w:rFonts w:ascii="Times New Roman" w:hAnsi="Times New Roman" w:cs="Times New Roman"/>
          <w:sz w:val="24"/>
          <w:szCs w:val="24"/>
        </w:rPr>
        <w:t>The volume under review</w:t>
      </w:r>
      <w:r>
        <w:rPr>
          <w:rFonts w:ascii="Times New Roman" w:hAnsi="Times New Roman" w:cs="Times New Roman"/>
          <w:b/>
          <w:bCs/>
          <w:i/>
          <w:iCs/>
          <w:sz w:val="24"/>
          <w:szCs w:val="24"/>
        </w:rPr>
        <w:t xml:space="preserve">, </w:t>
      </w:r>
      <w:r w:rsidRPr="00086C43">
        <w:rPr>
          <w:rFonts w:ascii="Times New Roman" w:hAnsi="Times New Roman" w:cs="Times New Roman"/>
          <w:sz w:val="24"/>
          <w:szCs w:val="24"/>
        </w:rPr>
        <w:t>titled</w:t>
      </w:r>
      <w:r>
        <w:rPr>
          <w:rFonts w:ascii="Times New Roman" w:hAnsi="Times New Roman" w:cs="Times New Roman"/>
          <w:b/>
          <w:bCs/>
          <w:i/>
          <w:iCs/>
          <w:sz w:val="24"/>
          <w:szCs w:val="24"/>
        </w:rPr>
        <w:t xml:space="preserve">, </w:t>
      </w:r>
      <w:r w:rsidRPr="00086C43">
        <w:rPr>
          <w:rFonts w:ascii="Times New Roman" w:hAnsi="Times New Roman" w:cs="Times New Roman"/>
          <w:b/>
          <w:bCs/>
          <w:i/>
          <w:iCs/>
          <w:sz w:val="24"/>
          <w:szCs w:val="24"/>
        </w:rPr>
        <w:t>Some Aspects of Manuscriptology</w:t>
      </w:r>
      <w:r w:rsidRPr="00086C43">
        <w:rPr>
          <w:rFonts w:ascii="Times New Roman" w:hAnsi="Times New Roman" w:cs="Times New Roman"/>
          <w:sz w:val="24"/>
          <w:szCs w:val="24"/>
        </w:rPr>
        <w:t>, edited by Dr. Manashi Sharma and Aniruddha Dutta and published by Manohari Devi Kanoi Girls' College, Dibrugarh, Assam (2023), brings together twelve articles on the theory and practice of manuscript studies</w:t>
      </w:r>
      <w:r>
        <w:rPr>
          <w:rFonts w:ascii="Times New Roman" w:hAnsi="Times New Roman" w:cs="Times New Roman"/>
          <w:sz w:val="24"/>
          <w:szCs w:val="24"/>
        </w:rPr>
        <w:t xml:space="preserve">, which is a scholarly and academically rich contribution to the field of Manuscriptology. </w:t>
      </w:r>
      <w:r w:rsidR="00AA1E86" w:rsidRPr="00AA1E86">
        <w:rPr>
          <w:rFonts w:ascii="Times New Roman" w:hAnsi="Times New Roman" w:cs="Times New Roman"/>
          <w:sz w:val="24"/>
          <w:szCs w:val="24"/>
        </w:rPr>
        <w:t xml:space="preserve">The volume originates from a seven-day ICSSR-sponsored workshop on </w:t>
      </w:r>
      <w:r w:rsidR="00AA1E86" w:rsidRPr="00AA1E86">
        <w:rPr>
          <w:rFonts w:ascii="Times New Roman" w:hAnsi="Times New Roman" w:cs="Times New Roman"/>
          <w:i/>
          <w:iCs/>
          <w:sz w:val="24"/>
          <w:szCs w:val="24"/>
        </w:rPr>
        <w:t>Manuscriptology and Textual Criticism</w:t>
      </w:r>
      <w:r w:rsidR="00AA1E86" w:rsidRPr="00AA1E86">
        <w:rPr>
          <w:rFonts w:ascii="Times New Roman" w:hAnsi="Times New Roman" w:cs="Times New Roman"/>
          <w:sz w:val="24"/>
          <w:szCs w:val="24"/>
        </w:rPr>
        <w:t xml:space="preserve">, jointly organized by the Departments of Sanskrit, Assamese, and History at the </w:t>
      </w:r>
      <w:r w:rsidR="00AA1E86">
        <w:rPr>
          <w:rFonts w:ascii="Times New Roman" w:hAnsi="Times New Roman" w:cs="Times New Roman"/>
          <w:sz w:val="24"/>
          <w:szCs w:val="24"/>
        </w:rPr>
        <w:t xml:space="preserve">Manohari Devi Kanoi Girls’ </w:t>
      </w:r>
      <w:r w:rsidR="00AA1E86" w:rsidRPr="00AA1E86">
        <w:rPr>
          <w:rFonts w:ascii="Times New Roman" w:hAnsi="Times New Roman" w:cs="Times New Roman"/>
          <w:sz w:val="24"/>
          <w:szCs w:val="24"/>
        </w:rPr>
        <w:t>College in February 2021, with scholars drawn primarily from Assam and Kolkata.</w:t>
      </w:r>
      <w:r w:rsidR="00460D74">
        <w:rPr>
          <w:rFonts w:ascii="Times New Roman" w:hAnsi="Times New Roman" w:cs="Times New Roman"/>
          <w:sz w:val="24"/>
          <w:szCs w:val="24"/>
        </w:rPr>
        <w:t xml:space="preserve"> T</w:t>
      </w:r>
      <w:r w:rsidR="00F67DE2">
        <w:rPr>
          <w:rFonts w:ascii="Times New Roman" w:hAnsi="Times New Roman" w:cs="Times New Roman"/>
          <w:sz w:val="24"/>
          <w:szCs w:val="24"/>
        </w:rPr>
        <w:t>h</w:t>
      </w:r>
      <w:r w:rsidR="00460D74">
        <w:rPr>
          <w:rFonts w:ascii="Times New Roman" w:hAnsi="Times New Roman" w:cs="Times New Roman"/>
          <w:sz w:val="24"/>
          <w:szCs w:val="24"/>
        </w:rPr>
        <w:t>is</w:t>
      </w:r>
      <w:r w:rsidR="00F67DE2">
        <w:rPr>
          <w:rFonts w:ascii="Times New Roman" w:hAnsi="Times New Roman" w:cs="Times New Roman"/>
          <w:sz w:val="24"/>
          <w:szCs w:val="24"/>
        </w:rPr>
        <w:t xml:space="preserve"> volume </w:t>
      </w:r>
      <w:r w:rsidR="00460D74" w:rsidRPr="00460D74">
        <w:rPr>
          <w:rFonts w:ascii="Times New Roman" w:hAnsi="Times New Roman" w:cs="Times New Roman"/>
          <w:sz w:val="24"/>
          <w:szCs w:val="24"/>
        </w:rPr>
        <w:t>addresses the discipline from two complementary directions: broad, pan-Indian surveys of manuscript traditions</w:t>
      </w:r>
      <w:r w:rsidR="00460D74">
        <w:rPr>
          <w:rFonts w:ascii="Times New Roman" w:hAnsi="Times New Roman" w:cs="Times New Roman"/>
          <w:sz w:val="24"/>
          <w:szCs w:val="24"/>
        </w:rPr>
        <w:t xml:space="preserve"> </w:t>
      </w:r>
      <w:r w:rsidR="00460D74" w:rsidRPr="00460D74">
        <w:rPr>
          <w:rFonts w:ascii="Times New Roman" w:hAnsi="Times New Roman" w:cs="Times New Roman"/>
          <w:sz w:val="24"/>
          <w:szCs w:val="24"/>
        </w:rPr>
        <w:t xml:space="preserve">and focused regional studies of Assamese </w:t>
      </w:r>
      <w:proofErr w:type="spellStart"/>
      <w:r w:rsidR="00460D74" w:rsidRPr="00460D74">
        <w:rPr>
          <w:rFonts w:ascii="Times New Roman" w:hAnsi="Times New Roman" w:cs="Times New Roman"/>
          <w:i/>
          <w:iCs/>
          <w:sz w:val="24"/>
          <w:szCs w:val="24"/>
        </w:rPr>
        <w:t>S</w:t>
      </w:r>
      <w:r w:rsidR="00460D74">
        <w:rPr>
          <w:rFonts w:ascii="Times New Roman" w:hAnsi="Times New Roman" w:cs="Times New Roman"/>
          <w:i/>
          <w:iCs/>
          <w:sz w:val="24"/>
          <w:szCs w:val="24"/>
        </w:rPr>
        <w:t>ā</w:t>
      </w:r>
      <w:r w:rsidR="00460D74" w:rsidRPr="00460D74">
        <w:rPr>
          <w:rFonts w:ascii="Times New Roman" w:hAnsi="Times New Roman" w:cs="Times New Roman"/>
          <w:i/>
          <w:iCs/>
          <w:sz w:val="24"/>
          <w:szCs w:val="24"/>
        </w:rPr>
        <w:t>ncip</w:t>
      </w:r>
      <w:r w:rsidR="00460D74">
        <w:rPr>
          <w:rFonts w:ascii="Times New Roman" w:hAnsi="Times New Roman" w:cs="Times New Roman"/>
          <w:i/>
          <w:iCs/>
          <w:sz w:val="24"/>
          <w:szCs w:val="24"/>
        </w:rPr>
        <w:t>ā</w:t>
      </w:r>
      <w:r w:rsidR="00460D74" w:rsidRPr="00460D74">
        <w:rPr>
          <w:rFonts w:ascii="Times New Roman" w:hAnsi="Times New Roman" w:cs="Times New Roman"/>
          <w:i/>
          <w:iCs/>
          <w:sz w:val="24"/>
          <w:szCs w:val="24"/>
        </w:rPr>
        <w:t>t</w:t>
      </w:r>
      <w:proofErr w:type="spellEnd"/>
      <w:r w:rsidR="00460D74" w:rsidRPr="00460D74">
        <w:rPr>
          <w:rFonts w:ascii="Times New Roman" w:hAnsi="Times New Roman" w:cs="Times New Roman"/>
          <w:sz w:val="24"/>
          <w:szCs w:val="24"/>
        </w:rPr>
        <w:t xml:space="preserve"> and </w:t>
      </w:r>
      <w:proofErr w:type="spellStart"/>
      <w:r w:rsidR="00460D74" w:rsidRPr="00460D74">
        <w:rPr>
          <w:rFonts w:ascii="Times New Roman" w:hAnsi="Times New Roman" w:cs="Times New Roman"/>
          <w:i/>
          <w:iCs/>
          <w:sz w:val="24"/>
          <w:szCs w:val="24"/>
        </w:rPr>
        <w:t>Grantha</w:t>
      </w:r>
      <w:proofErr w:type="spellEnd"/>
      <w:r w:rsidR="00460D74" w:rsidRPr="00460D74">
        <w:rPr>
          <w:rFonts w:ascii="Times New Roman" w:hAnsi="Times New Roman" w:cs="Times New Roman"/>
          <w:sz w:val="24"/>
          <w:szCs w:val="24"/>
        </w:rPr>
        <w:t xml:space="preserve"> manuscripts</w:t>
      </w:r>
      <w:r w:rsidR="00460D74">
        <w:rPr>
          <w:rFonts w:ascii="Times New Roman" w:hAnsi="Times New Roman" w:cs="Times New Roman"/>
          <w:sz w:val="24"/>
          <w:szCs w:val="24"/>
        </w:rPr>
        <w:t xml:space="preserve">. </w:t>
      </w:r>
      <w:r w:rsidR="00460D74" w:rsidRPr="00460D74">
        <w:rPr>
          <w:rFonts w:ascii="Times New Roman" w:hAnsi="Times New Roman" w:cs="Times New Roman"/>
          <w:sz w:val="24"/>
          <w:szCs w:val="24"/>
        </w:rPr>
        <w:t>As the editors</w:t>
      </w:r>
      <w:r w:rsidR="00460D74">
        <w:rPr>
          <w:rFonts w:ascii="Times New Roman" w:hAnsi="Times New Roman" w:cs="Times New Roman"/>
          <w:sz w:val="24"/>
          <w:szCs w:val="24"/>
        </w:rPr>
        <w:t>’</w:t>
      </w:r>
      <w:r w:rsidR="00460D74" w:rsidRPr="00460D74">
        <w:rPr>
          <w:rFonts w:ascii="Times New Roman" w:hAnsi="Times New Roman" w:cs="Times New Roman"/>
          <w:sz w:val="24"/>
          <w:szCs w:val="24"/>
        </w:rPr>
        <w:t xml:space="preserve"> note, the aim of the collection is not merely to reproduce the workshop's lectures but to build upon them as a resource for young scholars entering the field of manuscript studies.</w:t>
      </w:r>
    </w:p>
    <w:p w14:paraId="6AC150B3" w14:textId="4C266935" w:rsidR="00460D74" w:rsidRDefault="00460D74" w:rsidP="00CF12A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volume opens with </w:t>
      </w:r>
      <w:proofErr w:type="spellStart"/>
      <w:r w:rsidRPr="00460D74">
        <w:rPr>
          <w:rFonts w:ascii="Times New Roman" w:hAnsi="Times New Roman" w:cs="Times New Roman"/>
          <w:i/>
          <w:iCs/>
          <w:sz w:val="24"/>
          <w:szCs w:val="24"/>
        </w:rPr>
        <w:t>Axomor</w:t>
      </w:r>
      <w:proofErr w:type="spellEnd"/>
      <w:r w:rsidRPr="00460D74">
        <w:rPr>
          <w:rFonts w:ascii="Times New Roman" w:hAnsi="Times New Roman" w:cs="Times New Roman"/>
          <w:i/>
          <w:iCs/>
          <w:sz w:val="24"/>
          <w:szCs w:val="24"/>
        </w:rPr>
        <w:t xml:space="preserve"> </w:t>
      </w:r>
      <w:proofErr w:type="spellStart"/>
      <w:r w:rsidRPr="00460D74">
        <w:rPr>
          <w:rFonts w:ascii="Times New Roman" w:hAnsi="Times New Roman" w:cs="Times New Roman"/>
          <w:i/>
          <w:iCs/>
          <w:sz w:val="24"/>
          <w:szCs w:val="24"/>
        </w:rPr>
        <w:t>Pāṇḍulipi</w:t>
      </w:r>
      <w:proofErr w:type="spellEnd"/>
      <w:r w:rsidRPr="00460D74">
        <w:rPr>
          <w:rFonts w:ascii="Times New Roman" w:hAnsi="Times New Roman" w:cs="Times New Roman"/>
          <w:i/>
          <w:iCs/>
          <w:sz w:val="24"/>
          <w:szCs w:val="24"/>
        </w:rPr>
        <w:t xml:space="preserve">: </w:t>
      </w:r>
      <w:proofErr w:type="spellStart"/>
      <w:r w:rsidRPr="00460D74">
        <w:rPr>
          <w:rFonts w:ascii="Times New Roman" w:hAnsi="Times New Roman" w:cs="Times New Roman"/>
          <w:i/>
          <w:iCs/>
          <w:sz w:val="24"/>
          <w:szCs w:val="24"/>
        </w:rPr>
        <w:t>Ek</w:t>
      </w:r>
      <w:proofErr w:type="spellEnd"/>
      <w:r w:rsidRPr="00460D74">
        <w:rPr>
          <w:rFonts w:ascii="Times New Roman" w:hAnsi="Times New Roman" w:cs="Times New Roman"/>
          <w:i/>
          <w:iCs/>
          <w:sz w:val="24"/>
          <w:szCs w:val="24"/>
        </w:rPr>
        <w:t xml:space="preserve"> Adhyayan</w:t>
      </w:r>
      <w:r>
        <w:rPr>
          <w:rFonts w:ascii="Times New Roman" w:hAnsi="Times New Roman" w:cs="Times New Roman"/>
          <w:i/>
          <w:iCs/>
          <w:sz w:val="24"/>
          <w:szCs w:val="24"/>
        </w:rPr>
        <w:t xml:space="preserve">, </w:t>
      </w:r>
      <w:r>
        <w:rPr>
          <w:rFonts w:ascii="Times New Roman" w:hAnsi="Times New Roman" w:cs="Times New Roman"/>
          <w:sz w:val="24"/>
          <w:szCs w:val="24"/>
        </w:rPr>
        <w:t xml:space="preserve">Dr. </w:t>
      </w:r>
      <w:proofErr w:type="spellStart"/>
      <w:r>
        <w:rPr>
          <w:rFonts w:ascii="Times New Roman" w:hAnsi="Times New Roman" w:cs="Times New Roman"/>
          <w:sz w:val="24"/>
          <w:szCs w:val="24"/>
        </w:rPr>
        <w:t>Basanata</w:t>
      </w:r>
      <w:proofErr w:type="spellEnd"/>
      <w:r>
        <w:rPr>
          <w:rFonts w:ascii="Times New Roman" w:hAnsi="Times New Roman" w:cs="Times New Roman"/>
          <w:sz w:val="24"/>
          <w:szCs w:val="24"/>
        </w:rPr>
        <w:t xml:space="preserve"> Kumar Deva Goswami’s essay on Assamese manuscripts, pp. 7-16, </w:t>
      </w:r>
      <w:r w:rsidR="00D84822" w:rsidRPr="00D84822">
        <w:rPr>
          <w:rFonts w:ascii="Times New Roman" w:hAnsi="Times New Roman" w:cs="Times New Roman"/>
          <w:sz w:val="24"/>
          <w:szCs w:val="24"/>
        </w:rPr>
        <w:t>proposes a three-stage chronological framework for the development of the Assamese script</w:t>
      </w:r>
      <w:r w:rsidR="00D84822">
        <w:rPr>
          <w:rFonts w:ascii="Times New Roman" w:hAnsi="Times New Roman" w:cs="Times New Roman"/>
          <w:sz w:val="24"/>
          <w:szCs w:val="24"/>
        </w:rPr>
        <w:t xml:space="preserve">, </w:t>
      </w:r>
      <w:r w:rsidR="00D84822" w:rsidRPr="00D84822">
        <w:rPr>
          <w:rFonts w:ascii="Times New Roman" w:hAnsi="Times New Roman" w:cs="Times New Roman"/>
          <w:sz w:val="24"/>
          <w:szCs w:val="24"/>
        </w:rPr>
        <w:t xml:space="preserve">from its formative use in royal inscriptions (5th–12th centuries), through its maturation in Ahom-era land grants and </w:t>
      </w:r>
      <w:proofErr w:type="spellStart"/>
      <w:r w:rsidR="00D84822" w:rsidRPr="00460D74">
        <w:rPr>
          <w:rFonts w:ascii="Times New Roman" w:hAnsi="Times New Roman" w:cs="Times New Roman"/>
          <w:i/>
          <w:iCs/>
          <w:sz w:val="24"/>
          <w:szCs w:val="24"/>
        </w:rPr>
        <w:t>S</w:t>
      </w:r>
      <w:r w:rsidR="00D84822">
        <w:rPr>
          <w:rFonts w:ascii="Times New Roman" w:hAnsi="Times New Roman" w:cs="Times New Roman"/>
          <w:i/>
          <w:iCs/>
          <w:sz w:val="24"/>
          <w:szCs w:val="24"/>
        </w:rPr>
        <w:t>ā</w:t>
      </w:r>
      <w:r w:rsidR="00D84822" w:rsidRPr="00460D74">
        <w:rPr>
          <w:rFonts w:ascii="Times New Roman" w:hAnsi="Times New Roman" w:cs="Times New Roman"/>
          <w:i/>
          <w:iCs/>
          <w:sz w:val="24"/>
          <w:szCs w:val="24"/>
        </w:rPr>
        <w:t>ncip</w:t>
      </w:r>
      <w:r w:rsidR="00D84822">
        <w:rPr>
          <w:rFonts w:ascii="Times New Roman" w:hAnsi="Times New Roman" w:cs="Times New Roman"/>
          <w:i/>
          <w:iCs/>
          <w:sz w:val="24"/>
          <w:szCs w:val="24"/>
        </w:rPr>
        <w:t>ā</w:t>
      </w:r>
      <w:r w:rsidR="00D84822" w:rsidRPr="00460D74">
        <w:rPr>
          <w:rFonts w:ascii="Times New Roman" w:hAnsi="Times New Roman" w:cs="Times New Roman"/>
          <w:i/>
          <w:iCs/>
          <w:sz w:val="24"/>
          <w:szCs w:val="24"/>
        </w:rPr>
        <w:t>t</w:t>
      </w:r>
      <w:proofErr w:type="spellEnd"/>
      <w:r w:rsidR="00D84822" w:rsidRPr="00460D74">
        <w:rPr>
          <w:rFonts w:ascii="Times New Roman" w:hAnsi="Times New Roman" w:cs="Times New Roman"/>
          <w:sz w:val="24"/>
          <w:szCs w:val="24"/>
        </w:rPr>
        <w:t xml:space="preserve"> </w:t>
      </w:r>
      <w:r w:rsidR="00D84822" w:rsidRPr="00D84822">
        <w:rPr>
          <w:rFonts w:ascii="Times New Roman" w:hAnsi="Times New Roman" w:cs="Times New Roman"/>
          <w:sz w:val="24"/>
          <w:szCs w:val="24"/>
        </w:rPr>
        <w:t>manuscripts (1206–1826), to its disruption and standardization during the colonial printing era</w:t>
      </w:r>
      <w:r w:rsidR="00D84822">
        <w:rPr>
          <w:rFonts w:ascii="Times New Roman" w:hAnsi="Times New Roman" w:cs="Times New Roman"/>
          <w:sz w:val="24"/>
          <w:szCs w:val="24"/>
        </w:rPr>
        <w:t xml:space="preserve"> (p.10). Also</w:t>
      </w:r>
      <w:r w:rsidR="00034723">
        <w:rPr>
          <w:rFonts w:ascii="Times New Roman" w:hAnsi="Times New Roman" w:cs="Times New Roman"/>
          <w:sz w:val="24"/>
          <w:szCs w:val="24"/>
        </w:rPr>
        <w:t>,</w:t>
      </w:r>
      <w:r w:rsidR="00D84822">
        <w:rPr>
          <w:rFonts w:ascii="Times New Roman" w:hAnsi="Times New Roman" w:cs="Times New Roman"/>
          <w:sz w:val="24"/>
          <w:szCs w:val="24"/>
        </w:rPr>
        <w:t xml:space="preserve"> about the different sources or finding places of Assamese Manuscripts (pp.14-15).</w:t>
      </w:r>
      <w:r w:rsidR="00034723">
        <w:rPr>
          <w:rFonts w:ascii="Times New Roman" w:hAnsi="Times New Roman" w:cs="Times New Roman"/>
          <w:sz w:val="24"/>
          <w:szCs w:val="24"/>
        </w:rPr>
        <w:t xml:space="preserve"> </w:t>
      </w:r>
      <w:r w:rsidR="00034723" w:rsidRPr="00034723">
        <w:rPr>
          <w:rFonts w:ascii="Times New Roman" w:hAnsi="Times New Roman" w:cs="Times New Roman"/>
          <w:sz w:val="24"/>
          <w:szCs w:val="24"/>
        </w:rPr>
        <w:t xml:space="preserve">This is followed by Dr. </w:t>
      </w:r>
      <w:proofErr w:type="spellStart"/>
      <w:r w:rsidR="00034723" w:rsidRPr="00034723">
        <w:rPr>
          <w:rFonts w:ascii="Times New Roman" w:hAnsi="Times New Roman" w:cs="Times New Roman"/>
          <w:sz w:val="24"/>
          <w:szCs w:val="24"/>
        </w:rPr>
        <w:t>Bhimkanta</w:t>
      </w:r>
      <w:proofErr w:type="spellEnd"/>
      <w:r w:rsidR="00034723" w:rsidRPr="00034723">
        <w:rPr>
          <w:rFonts w:ascii="Times New Roman" w:hAnsi="Times New Roman" w:cs="Times New Roman"/>
          <w:sz w:val="24"/>
          <w:szCs w:val="24"/>
        </w:rPr>
        <w:t xml:space="preserve"> Baruah's discussion of </w:t>
      </w:r>
      <w:proofErr w:type="spellStart"/>
      <w:r w:rsidR="00034723" w:rsidRPr="00460D74">
        <w:rPr>
          <w:rFonts w:ascii="Times New Roman" w:hAnsi="Times New Roman" w:cs="Times New Roman"/>
          <w:i/>
          <w:iCs/>
          <w:sz w:val="24"/>
          <w:szCs w:val="24"/>
        </w:rPr>
        <w:t>S</w:t>
      </w:r>
      <w:r w:rsidR="00034723">
        <w:rPr>
          <w:rFonts w:ascii="Times New Roman" w:hAnsi="Times New Roman" w:cs="Times New Roman"/>
          <w:i/>
          <w:iCs/>
          <w:sz w:val="24"/>
          <w:szCs w:val="24"/>
        </w:rPr>
        <w:t>ā</w:t>
      </w:r>
      <w:r w:rsidR="00034723" w:rsidRPr="00460D74">
        <w:rPr>
          <w:rFonts w:ascii="Times New Roman" w:hAnsi="Times New Roman" w:cs="Times New Roman"/>
          <w:i/>
          <w:iCs/>
          <w:sz w:val="24"/>
          <w:szCs w:val="24"/>
        </w:rPr>
        <w:t>ncip</w:t>
      </w:r>
      <w:r w:rsidR="00034723">
        <w:rPr>
          <w:rFonts w:ascii="Times New Roman" w:hAnsi="Times New Roman" w:cs="Times New Roman"/>
          <w:i/>
          <w:iCs/>
          <w:sz w:val="24"/>
          <w:szCs w:val="24"/>
        </w:rPr>
        <w:t>ā</w:t>
      </w:r>
      <w:r w:rsidR="00034723" w:rsidRPr="00460D74">
        <w:rPr>
          <w:rFonts w:ascii="Times New Roman" w:hAnsi="Times New Roman" w:cs="Times New Roman"/>
          <w:i/>
          <w:iCs/>
          <w:sz w:val="24"/>
          <w:szCs w:val="24"/>
        </w:rPr>
        <w:t>t</w:t>
      </w:r>
      <w:proofErr w:type="spellEnd"/>
      <w:r w:rsidR="00034723" w:rsidRPr="00460D74">
        <w:rPr>
          <w:rFonts w:ascii="Times New Roman" w:hAnsi="Times New Roman" w:cs="Times New Roman"/>
          <w:sz w:val="24"/>
          <w:szCs w:val="24"/>
        </w:rPr>
        <w:t xml:space="preserve"> </w:t>
      </w:r>
      <w:r w:rsidR="00034723" w:rsidRPr="00034723">
        <w:rPr>
          <w:rFonts w:ascii="Times New Roman" w:hAnsi="Times New Roman" w:cs="Times New Roman"/>
          <w:sz w:val="24"/>
          <w:szCs w:val="24"/>
        </w:rPr>
        <w:t>manuscript preservation (pp. 17–22)</w:t>
      </w:r>
      <w:r w:rsidR="00034723">
        <w:rPr>
          <w:rFonts w:ascii="Times New Roman" w:hAnsi="Times New Roman" w:cs="Times New Roman"/>
          <w:sz w:val="24"/>
          <w:szCs w:val="24"/>
        </w:rPr>
        <w:t xml:space="preserve"> tilted as </w:t>
      </w:r>
      <w:proofErr w:type="spellStart"/>
      <w:r w:rsidR="00034723" w:rsidRPr="00034723">
        <w:rPr>
          <w:rFonts w:ascii="Times New Roman" w:hAnsi="Times New Roman" w:cs="Times New Roman"/>
          <w:i/>
          <w:iCs/>
          <w:sz w:val="24"/>
          <w:szCs w:val="24"/>
        </w:rPr>
        <w:t>Sāc</w:t>
      </w:r>
      <w:r w:rsidR="007E530C">
        <w:rPr>
          <w:rFonts w:ascii="Times New Roman" w:hAnsi="Times New Roman" w:cs="Times New Roman"/>
          <w:i/>
          <w:iCs/>
          <w:sz w:val="24"/>
          <w:szCs w:val="24"/>
        </w:rPr>
        <w:t>i</w:t>
      </w:r>
      <w:r w:rsidR="00034723" w:rsidRPr="00034723">
        <w:rPr>
          <w:rFonts w:ascii="Times New Roman" w:hAnsi="Times New Roman" w:cs="Times New Roman"/>
          <w:i/>
          <w:iCs/>
          <w:sz w:val="24"/>
          <w:szCs w:val="24"/>
        </w:rPr>
        <w:t>patīyā</w:t>
      </w:r>
      <w:proofErr w:type="spellEnd"/>
      <w:r w:rsidR="00034723" w:rsidRPr="00034723">
        <w:rPr>
          <w:rFonts w:ascii="Times New Roman" w:hAnsi="Times New Roman" w:cs="Times New Roman"/>
          <w:i/>
          <w:iCs/>
          <w:sz w:val="24"/>
          <w:szCs w:val="24"/>
        </w:rPr>
        <w:t xml:space="preserve"> </w:t>
      </w:r>
      <w:proofErr w:type="spellStart"/>
      <w:r w:rsidR="00034723" w:rsidRPr="00034723">
        <w:rPr>
          <w:rFonts w:ascii="Times New Roman" w:hAnsi="Times New Roman" w:cs="Times New Roman"/>
          <w:i/>
          <w:iCs/>
          <w:sz w:val="24"/>
          <w:szCs w:val="24"/>
        </w:rPr>
        <w:t>Puthir</w:t>
      </w:r>
      <w:proofErr w:type="spellEnd"/>
      <w:r w:rsidR="00034723" w:rsidRPr="00034723">
        <w:rPr>
          <w:rFonts w:ascii="Times New Roman" w:hAnsi="Times New Roman" w:cs="Times New Roman"/>
          <w:i/>
          <w:iCs/>
          <w:sz w:val="24"/>
          <w:szCs w:val="24"/>
        </w:rPr>
        <w:t xml:space="preserve"> </w:t>
      </w:r>
      <w:proofErr w:type="spellStart"/>
      <w:r w:rsidR="00034723" w:rsidRPr="00034723">
        <w:rPr>
          <w:rFonts w:ascii="Times New Roman" w:hAnsi="Times New Roman" w:cs="Times New Roman"/>
          <w:i/>
          <w:iCs/>
          <w:sz w:val="24"/>
          <w:szCs w:val="24"/>
        </w:rPr>
        <w:t>Saṁrakṣaṇa</w:t>
      </w:r>
      <w:proofErr w:type="spellEnd"/>
      <w:r w:rsidR="00034723">
        <w:rPr>
          <w:rFonts w:ascii="Times New Roman" w:hAnsi="Times New Roman" w:cs="Times New Roman"/>
          <w:i/>
          <w:iCs/>
          <w:sz w:val="24"/>
          <w:szCs w:val="24"/>
        </w:rPr>
        <w:t xml:space="preserve">, </w:t>
      </w:r>
      <w:r w:rsidR="00471F2B" w:rsidRPr="00471F2B">
        <w:rPr>
          <w:rFonts w:ascii="Times New Roman" w:hAnsi="Times New Roman" w:cs="Times New Roman"/>
          <w:sz w:val="24"/>
          <w:szCs w:val="24"/>
        </w:rPr>
        <w:t xml:space="preserve">which surveys methods ranging from scientific conservation of the original to digital scanning and CD-based storage, and closes with a cautionary reminder that materials like </w:t>
      </w:r>
      <w:proofErr w:type="spellStart"/>
      <w:r w:rsidR="00471F2B" w:rsidRPr="00460D74">
        <w:rPr>
          <w:rFonts w:ascii="Times New Roman" w:hAnsi="Times New Roman" w:cs="Times New Roman"/>
          <w:i/>
          <w:iCs/>
          <w:sz w:val="24"/>
          <w:szCs w:val="24"/>
        </w:rPr>
        <w:t>S</w:t>
      </w:r>
      <w:r w:rsidR="00471F2B">
        <w:rPr>
          <w:rFonts w:ascii="Times New Roman" w:hAnsi="Times New Roman" w:cs="Times New Roman"/>
          <w:i/>
          <w:iCs/>
          <w:sz w:val="24"/>
          <w:szCs w:val="24"/>
        </w:rPr>
        <w:t>ā</w:t>
      </w:r>
      <w:r w:rsidR="00471F2B" w:rsidRPr="00460D74">
        <w:rPr>
          <w:rFonts w:ascii="Times New Roman" w:hAnsi="Times New Roman" w:cs="Times New Roman"/>
          <w:i/>
          <w:iCs/>
          <w:sz w:val="24"/>
          <w:szCs w:val="24"/>
        </w:rPr>
        <w:t>ncip</w:t>
      </w:r>
      <w:r w:rsidR="00471F2B">
        <w:rPr>
          <w:rFonts w:ascii="Times New Roman" w:hAnsi="Times New Roman" w:cs="Times New Roman"/>
          <w:i/>
          <w:iCs/>
          <w:sz w:val="24"/>
          <w:szCs w:val="24"/>
        </w:rPr>
        <w:t>ā</w:t>
      </w:r>
      <w:r w:rsidR="00471F2B" w:rsidRPr="00460D74">
        <w:rPr>
          <w:rFonts w:ascii="Times New Roman" w:hAnsi="Times New Roman" w:cs="Times New Roman"/>
          <w:i/>
          <w:iCs/>
          <w:sz w:val="24"/>
          <w:szCs w:val="24"/>
        </w:rPr>
        <w:t>t</w:t>
      </w:r>
      <w:proofErr w:type="spellEnd"/>
      <w:r w:rsidR="00471F2B" w:rsidRPr="00460D74">
        <w:rPr>
          <w:rFonts w:ascii="Times New Roman" w:hAnsi="Times New Roman" w:cs="Times New Roman"/>
          <w:sz w:val="24"/>
          <w:szCs w:val="24"/>
        </w:rPr>
        <w:t xml:space="preserve"> </w:t>
      </w:r>
      <w:r w:rsidR="00471F2B" w:rsidRPr="00471F2B">
        <w:rPr>
          <w:rFonts w:ascii="Times New Roman" w:hAnsi="Times New Roman" w:cs="Times New Roman"/>
          <w:sz w:val="24"/>
          <w:szCs w:val="24"/>
        </w:rPr>
        <w:t xml:space="preserve">and </w:t>
      </w:r>
      <w:proofErr w:type="spellStart"/>
      <w:r w:rsidR="00471F2B" w:rsidRPr="00471F2B">
        <w:rPr>
          <w:rFonts w:ascii="Times New Roman" w:hAnsi="Times New Roman" w:cs="Times New Roman"/>
          <w:i/>
          <w:iCs/>
          <w:sz w:val="24"/>
          <w:szCs w:val="24"/>
        </w:rPr>
        <w:t>Tulāpāt</w:t>
      </w:r>
      <w:proofErr w:type="spellEnd"/>
      <w:r w:rsidR="00471F2B" w:rsidRPr="00471F2B">
        <w:rPr>
          <w:rFonts w:ascii="Times New Roman" w:hAnsi="Times New Roman" w:cs="Times New Roman"/>
          <w:sz w:val="24"/>
          <w:szCs w:val="24"/>
        </w:rPr>
        <w:t xml:space="preserve"> have a finite lifespan, making timely scientific intervention urgent (p. 21).</w:t>
      </w:r>
      <w:r w:rsidR="00957905">
        <w:rPr>
          <w:rFonts w:ascii="Times New Roman" w:hAnsi="Times New Roman" w:cs="Times New Roman"/>
          <w:sz w:val="24"/>
          <w:szCs w:val="24"/>
        </w:rPr>
        <w:t xml:space="preserve"> </w:t>
      </w:r>
    </w:p>
    <w:p w14:paraId="76A5BD63" w14:textId="7E1EEA62" w:rsidR="00C310D3" w:rsidRPr="00C310D3" w:rsidRDefault="00C310D3" w:rsidP="00CF12A2">
      <w:pPr>
        <w:spacing w:line="360" w:lineRule="auto"/>
        <w:jc w:val="both"/>
        <w:rPr>
          <w:rFonts w:ascii="Times New Roman" w:hAnsi="Times New Roman" w:cs="Times New Roman"/>
          <w:sz w:val="24"/>
          <w:szCs w:val="24"/>
        </w:rPr>
      </w:pPr>
      <w:r w:rsidRPr="00C310D3">
        <w:rPr>
          <w:rFonts w:ascii="Times New Roman" w:hAnsi="Times New Roman" w:cs="Times New Roman"/>
          <w:sz w:val="24"/>
          <w:szCs w:val="24"/>
        </w:rPr>
        <w:t xml:space="preserve">Dr. Malinee Goswami's chapter on the </w:t>
      </w:r>
      <w:r w:rsidR="00C8542C">
        <w:rPr>
          <w:rFonts w:ascii="Times New Roman" w:hAnsi="Times New Roman" w:cs="Times New Roman"/>
          <w:i/>
          <w:iCs/>
          <w:sz w:val="24"/>
          <w:szCs w:val="24"/>
        </w:rPr>
        <w:t>T</w:t>
      </w:r>
      <w:r w:rsidRPr="00C310D3">
        <w:rPr>
          <w:rFonts w:ascii="Times New Roman" w:hAnsi="Times New Roman" w:cs="Times New Roman"/>
          <w:i/>
          <w:iCs/>
          <w:sz w:val="24"/>
          <w:szCs w:val="24"/>
        </w:rPr>
        <w:t>extual and cultural heritage of medieval Assamese manuscripts</w:t>
      </w:r>
      <w:r w:rsidRPr="00C310D3">
        <w:rPr>
          <w:rFonts w:ascii="Times New Roman" w:hAnsi="Times New Roman" w:cs="Times New Roman"/>
          <w:sz w:val="24"/>
          <w:szCs w:val="24"/>
        </w:rPr>
        <w:t xml:space="preserve"> (pp. 23–36) is among the more substantial contributions to the volume. She situates the region's manuscript tradition within a wider Indian context while tracing what is distinctly local to it, noting that Assamese recensions of the </w:t>
      </w:r>
      <w:proofErr w:type="spellStart"/>
      <w:r w:rsidRPr="00C310D3">
        <w:rPr>
          <w:rFonts w:ascii="Times New Roman" w:hAnsi="Times New Roman" w:cs="Times New Roman"/>
          <w:i/>
          <w:iCs/>
          <w:sz w:val="24"/>
          <w:szCs w:val="24"/>
        </w:rPr>
        <w:t>Mahābhārata</w:t>
      </w:r>
      <w:proofErr w:type="spellEnd"/>
      <w:r w:rsidRPr="00C310D3">
        <w:rPr>
          <w:rFonts w:ascii="Times New Roman" w:hAnsi="Times New Roman" w:cs="Times New Roman"/>
          <w:sz w:val="24"/>
          <w:szCs w:val="24"/>
        </w:rPr>
        <w:t xml:space="preserve"> and </w:t>
      </w:r>
      <w:proofErr w:type="spellStart"/>
      <w:r w:rsidRPr="00C310D3">
        <w:rPr>
          <w:rFonts w:ascii="Times New Roman" w:hAnsi="Times New Roman" w:cs="Times New Roman"/>
          <w:i/>
          <w:iCs/>
          <w:sz w:val="24"/>
          <w:szCs w:val="24"/>
        </w:rPr>
        <w:t>Rāmāyaṇa</w:t>
      </w:r>
      <w:proofErr w:type="spellEnd"/>
      <w:r w:rsidRPr="00C310D3">
        <w:rPr>
          <w:rFonts w:ascii="Times New Roman" w:hAnsi="Times New Roman" w:cs="Times New Roman"/>
          <w:sz w:val="24"/>
          <w:szCs w:val="24"/>
        </w:rPr>
        <w:t xml:space="preserve"> were part of a pan-Indian phenomenon that arose whenever Sanskrit epics were rendered into local languages; </w:t>
      </w:r>
      <w:proofErr w:type="spellStart"/>
      <w:r w:rsidRPr="00C310D3">
        <w:rPr>
          <w:rFonts w:ascii="Times New Roman" w:hAnsi="Times New Roman" w:cs="Times New Roman"/>
          <w:sz w:val="24"/>
          <w:szCs w:val="24"/>
        </w:rPr>
        <w:t>Mādhava</w:t>
      </w:r>
      <w:proofErr w:type="spellEnd"/>
      <w:r w:rsidRPr="00C310D3">
        <w:rPr>
          <w:rFonts w:ascii="Times New Roman" w:hAnsi="Times New Roman" w:cs="Times New Roman"/>
          <w:sz w:val="24"/>
          <w:szCs w:val="24"/>
        </w:rPr>
        <w:t xml:space="preserve"> </w:t>
      </w:r>
      <w:proofErr w:type="spellStart"/>
      <w:r w:rsidRPr="00C310D3">
        <w:rPr>
          <w:rFonts w:ascii="Times New Roman" w:hAnsi="Times New Roman" w:cs="Times New Roman"/>
          <w:sz w:val="24"/>
          <w:szCs w:val="24"/>
        </w:rPr>
        <w:t>Kandali's</w:t>
      </w:r>
      <w:proofErr w:type="spellEnd"/>
      <w:r w:rsidRPr="00C310D3">
        <w:rPr>
          <w:rFonts w:ascii="Times New Roman" w:hAnsi="Times New Roman" w:cs="Times New Roman"/>
          <w:sz w:val="24"/>
          <w:szCs w:val="24"/>
        </w:rPr>
        <w:t xml:space="preserve"> </w:t>
      </w:r>
      <w:proofErr w:type="spellStart"/>
      <w:r w:rsidRPr="00C310D3">
        <w:rPr>
          <w:rFonts w:ascii="Times New Roman" w:hAnsi="Times New Roman" w:cs="Times New Roman"/>
          <w:i/>
          <w:iCs/>
          <w:sz w:val="24"/>
          <w:szCs w:val="24"/>
        </w:rPr>
        <w:t>Rāmāyaṇa</w:t>
      </w:r>
      <w:proofErr w:type="spellEnd"/>
      <w:r w:rsidRPr="00C310D3">
        <w:rPr>
          <w:rFonts w:ascii="Times New Roman" w:hAnsi="Times New Roman" w:cs="Times New Roman"/>
          <w:sz w:val="24"/>
          <w:szCs w:val="24"/>
        </w:rPr>
        <w:t xml:space="preserve">, with its considerable interpolations, is offered as the Assamese instance of this practice (p. 25). Nearly all medieval manuscripts discovered so far, she observes, are written in the evolving Assamese script, with the notable exception of early Tai manuscripts composed in Tai-Burmese script under the Ahom rulers, a script lineage also traceable in the </w:t>
      </w:r>
      <w:proofErr w:type="spellStart"/>
      <w:r w:rsidRPr="007E530C">
        <w:rPr>
          <w:rFonts w:ascii="Times New Roman" w:hAnsi="Times New Roman" w:cs="Times New Roman"/>
          <w:i/>
          <w:iCs/>
          <w:sz w:val="24"/>
          <w:szCs w:val="24"/>
        </w:rPr>
        <w:t>Kānāi-Baraśī-Bowā</w:t>
      </w:r>
      <w:proofErr w:type="spellEnd"/>
      <w:r w:rsidRPr="00C310D3">
        <w:rPr>
          <w:rFonts w:ascii="Times New Roman" w:hAnsi="Times New Roman" w:cs="Times New Roman"/>
          <w:sz w:val="24"/>
          <w:szCs w:val="24"/>
        </w:rPr>
        <w:t xml:space="preserve"> rock inscription of 1205 CE (p. 25). The essay further brings out the social organisation behind manuscript production: the </w:t>
      </w:r>
      <w:proofErr w:type="spellStart"/>
      <w:r w:rsidRPr="00C310D3">
        <w:rPr>
          <w:rFonts w:ascii="Times New Roman" w:hAnsi="Times New Roman" w:cs="Times New Roman"/>
          <w:sz w:val="24"/>
          <w:szCs w:val="24"/>
        </w:rPr>
        <w:t>Bhāgavatīs</w:t>
      </w:r>
      <w:proofErr w:type="spellEnd"/>
      <w:r w:rsidRPr="00C310D3">
        <w:rPr>
          <w:rFonts w:ascii="Times New Roman" w:hAnsi="Times New Roman" w:cs="Times New Roman"/>
          <w:sz w:val="24"/>
          <w:szCs w:val="24"/>
        </w:rPr>
        <w:t xml:space="preserve"> specialised in copying the </w:t>
      </w:r>
      <w:proofErr w:type="spellStart"/>
      <w:r w:rsidRPr="00C310D3">
        <w:rPr>
          <w:rFonts w:ascii="Times New Roman" w:hAnsi="Times New Roman" w:cs="Times New Roman"/>
          <w:i/>
          <w:iCs/>
          <w:sz w:val="24"/>
          <w:szCs w:val="24"/>
        </w:rPr>
        <w:t>Bhāgavata</w:t>
      </w:r>
      <w:proofErr w:type="spellEnd"/>
      <w:r w:rsidRPr="00C310D3">
        <w:rPr>
          <w:rFonts w:ascii="Times New Roman" w:hAnsi="Times New Roman" w:cs="Times New Roman"/>
          <w:i/>
          <w:iCs/>
          <w:sz w:val="24"/>
          <w:szCs w:val="24"/>
        </w:rPr>
        <w:t xml:space="preserve"> </w:t>
      </w:r>
      <w:proofErr w:type="spellStart"/>
      <w:r w:rsidRPr="00C310D3">
        <w:rPr>
          <w:rFonts w:ascii="Times New Roman" w:hAnsi="Times New Roman" w:cs="Times New Roman"/>
          <w:i/>
          <w:iCs/>
          <w:sz w:val="24"/>
          <w:szCs w:val="24"/>
        </w:rPr>
        <w:t>Purāṇa</w:t>
      </w:r>
      <w:proofErr w:type="spellEnd"/>
      <w:r w:rsidRPr="00C310D3">
        <w:rPr>
          <w:rFonts w:ascii="Times New Roman" w:hAnsi="Times New Roman" w:cs="Times New Roman"/>
          <w:sz w:val="24"/>
          <w:szCs w:val="24"/>
        </w:rPr>
        <w:t xml:space="preserve">, while the </w:t>
      </w:r>
      <w:proofErr w:type="spellStart"/>
      <w:r w:rsidRPr="00C310D3">
        <w:rPr>
          <w:rFonts w:ascii="Times New Roman" w:hAnsi="Times New Roman" w:cs="Times New Roman"/>
          <w:sz w:val="24"/>
          <w:szCs w:val="24"/>
        </w:rPr>
        <w:t>Kākatīs</w:t>
      </w:r>
      <w:proofErr w:type="spellEnd"/>
      <w:r w:rsidRPr="00C310D3">
        <w:rPr>
          <w:rFonts w:ascii="Times New Roman" w:hAnsi="Times New Roman" w:cs="Times New Roman"/>
          <w:sz w:val="24"/>
          <w:szCs w:val="24"/>
        </w:rPr>
        <w:t xml:space="preserve"> served as royal scribes, with the senior </w:t>
      </w:r>
      <w:proofErr w:type="spellStart"/>
      <w:r w:rsidRPr="00C310D3">
        <w:rPr>
          <w:rFonts w:ascii="Times New Roman" w:hAnsi="Times New Roman" w:cs="Times New Roman"/>
          <w:sz w:val="24"/>
          <w:szCs w:val="24"/>
        </w:rPr>
        <w:t>Chāṅg-Kākatīs</w:t>
      </w:r>
      <w:proofErr w:type="spellEnd"/>
      <w:r w:rsidRPr="00C310D3">
        <w:rPr>
          <w:rFonts w:ascii="Times New Roman" w:hAnsi="Times New Roman" w:cs="Times New Roman"/>
          <w:sz w:val="24"/>
          <w:szCs w:val="24"/>
        </w:rPr>
        <w:t xml:space="preserve"> distinguished by an elevated seat (p. 27). Goswami also draws attention to the sheer range of subjects the tradition preserved, arithmetic, as in the </w:t>
      </w:r>
      <w:proofErr w:type="spellStart"/>
      <w:r w:rsidRPr="00C310D3">
        <w:rPr>
          <w:rFonts w:ascii="Times New Roman" w:hAnsi="Times New Roman" w:cs="Times New Roman"/>
          <w:i/>
          <w:iCs/>
          <w:sz w:val="24"/>
          <w:szCs w:val="24"/>
        </w:rPr>
        <w:t>Phalit</w:t>
      </w:r>
      <w:proofErr w:type="spellEnd"/>
      <w:r w:rsidRPr="00C310D3">
        <w:rPr>
          <w:rFonts w:ascii="Times New Roman" w:hAnsi="Times New Roman" w:cs="Times New Roman"/>
          <w:i/>
          <w:iCs/>
          <w:sz w:val="24"/>
          <w:szCs w:val="24"/>
        </w:rPr>
        <w:t xml:space="preserve"> </w:t>
      </w:r>
      <w:proofErr w:type="spellStart"/>
      <w:r w:rsidRPr="00C310D3">
        <w:rPr>
          <w:rFonts w:ascii="Times New Roman" w:hAnsi="Times New Roman" w:cs="Times New Roman"/>
          <w:i/>
          <w:iCs/>
          <w:sz w:val="24"/>
          <w:szCs w:val="24"/>
        </w:rPr>
        <w:t>Gaṇit</w:t>
      </w:r>
      <w:proofErr w:type="spellEnd"/>
      <w:r w:rsidRPr="00C310D3">
        <w:rPr>
          <w:rFonts w:ascii="Times New Roman" w:hAnsi="Times New Roman" w:cs="Times New Roman"/>
          <w:sz w:val="24"/>
          <w:szCs w:val="24"/>
        </w:rPr>
        <w:t xml:space="preserve"> method of </w:t>
      </w:r>
      <w:proofErr w:type="spellStart"/>
      <w:r w:rsidRPr="00C310D3">
        <w:rPr>
          <w:rFonts w:ascii="Times New Roman" w:hAnsi="Times New Roman" w:cs="Times New Roman"/>
          <w:sz w:val="24"/>
          <w:szCs w:val="24"/>
        </w:rPr>
        <w:t>Bakul</w:t>
      </w:r>
      <w:proofErr w:type="spellEnd"/>
      <w:r w:rsidRPr="00C310D3">
        <w:rPr>
          <w:rFonts w:ascii="Times New Roman" w:hAnsi="Times New Roman" w:cs="Times New Roman"/>
          <w:sz w:val="24"/>
          <w:szCs w:val="24"/>
        </w:rPr>
        <w:t xml:space="preserve"> </w:t>
      </w:r>
      <w:proofErr w:type="spellStart"/>
      <w:r w:rsidRPr="00C310D3">
        <w:rPr>
          <w:rFonts w:ascii="Times New Roman" w:hAnsi="Times New Roman" w:cs="Times New Roman"/>
          <w:sz w:val="24"/>
          <w:szCs w:val="24"/>
        </w:rPr>
        <w:t>Kāyastha's</w:t>
      </w:r>
      <w:proofErr w:type="spellEnd"/>
      <w:r w:rsidRPr="00C310D3">
        <w:rPr>
          <w:rFonts w:ascii="Times New Roman" w:hAnsi="Times New Roman" w:cs="Times New Roman"/>
          <w:sz w:val="24"/>
          <w:szCs w:val="24"/>
        </w:rPr>
        <w:t xml:space="preserve"> </w:t>
      </w:r>
      <w:proofErr w:type="spellStart"/>
      <w:r w:rsidRPr="00C310D3">
        <w:rPr>
          <w:rFonts w:ascii="Times New Roman" w:hAnsi="Times New Roman" w:cs="Times New Roman"/>
          <w:i/>
          <w:iCs/>
          <w:sz w:val="24"/>
          <w:szCs w:val="24"/>
        </w:rPr>
        <w:t>Kitābatamañjarī</w:t>
      </w:r>
      <w:proofErr w:type="spellEnd"/>
      <w:r w:rsidRPr="00C310D3">
        <w:rPr>
          <w:rFonts w:ascii="Times New Roman" w:hAnsi="Times New Roman" w:cs="Times New Roman"/>
          <w:sz w:val="24"/>
          <w:szCs w:val="24"/>
        </w:rPr>
        <w:t xml:space="preserve">, and medicine, through treatises such as the </w:t>
      </w:r>
      <w:r w:rsidRPr="00C310D3">
        <w:rPr>
          <w:rFonts w:ascii="Times New Roman" w:hAnsi="Times New Roman" w:cs="Times New Roman"/>
          <w:i/>
          <w:iCs/>
          <w:sz w:val="24"/>
          <w:szCs w:val="24"/>
        </w:rPr>
        <w:t xml:space="preserve">Vaidya </w:t>
      </w:r>
      <w:proofErr w:type="spellStart"/>
      <w:r w:rsidRPr="00C310D3">
        <w:rPr>
          <w:rFonts w:ascii="Times New Roman" w:hAnsi="Times New Roman" w:cs="Times New Roman"/>
          <w:i/>
          <w:iCs/>
          <w:sz w:val="24"/>
          <w:szCs w:val="24"/>
        </w:rPr>
        <w:t>Sāroddhāra</w:t>
      </w:r>
      <w:proofErr w:type="spellEnd"/>
      <w:r w:rsidRPr="00C310D3">
        <w:rPr>
          <w:rFonts w:ascii="Times New Roman" w:hAnsi="Times New Roman" w:cs="Times New Roman"/>
          <w:sz w:val="24"/>
          <w:szCs w:val="24"/>
        </w:rPr>
        <w:t xml:space="preserve"> and </w:t>
      </w:r>
      <w:proofErr w:type="spellStart"/>
      <w:r w:rsidRPr="00C310D3">
        <w:rPr>
          <w:rFonts w:ascii="Times New Roman" w:hAnsi="Times New Roman" w:cs="Times New Roman"/>
          <w:i/>
          <w:iCs/>
          <w:sz w:val="24"/>
          <w:szCs w:val="24"/>
        </w:rPr>
        <w:t>Cikitsāsaṁhitā</w:t>
      </w:r>
      <w:proofErr w:type="spellEnd"/>
      <w:r w:rsidRPr="00C310D3">
        <w:rPr>
          <w:rFonts w:ascii="Times New Roman" w:hAnsi="Times New Roman" w:cs="Times New Roman"/>
          <w:sz w:val="24"/>
          <w:szCs w:val="24"/>
        </w:rPr>
        <w:t xml:space="preserve"> (p. 27), and, later in the essay, the visual culture of the manuscripts themselves: the </w:t>
      </w:r>
      <w:proofErr w:type="spellStart"/>
      <w:r w:rsidRPr="00C310D3">
        <w:rPr>
          <w:rFonts w:ascii="Times New Roman" w:hAnsi="Times New Roman" w:cs="Times New Roman"/>
          <w:i/>
          <w:iCs/>
          <w:sz w:val="24"/>
          <w:szCs w:val="24"/>
        </w:rPr>
        <w:t>Rāṅgali</w:t>
      </w:r>
      <w:proofErr w:type="spellEnd"/>
      <w:r w:rsidRPr="00C310D3">
        <w:rPr>
          <w:rFonts w:ascii="Times New Roman" w:hAnsi="Times New Roman" w:cs="Times New Roman"/>
          <w:i/>
          <w:iCs/>
          <w:sz w:val="24"/>
          <w:szCs w:val="24"/>
        </w:rPr>
        <w:t xml:space="preserve"> </w:t>
      </w:r>
      <w:proofErr w:type="spellStart"/>
      <w:r w:rsidRPr="00C310D3">
        <w:rPr>
          <w:rFonts w:ascii="Times New Roman" w:hAnsi="Times New Roman" w:cs="Times New Roman"/>
          <w:i/>
          <w:iCs/>
          <w:sz w:val="24"/>
          <w:szCs w:val="24"/>
        </w:rPr>
        <w:t>Kīrtan</w:t>
      </w:r>
      <w:proofErr w:type="spellEnd"/>
      <w:r w:rsidRPr="00C310D3">
        <w:rPr>
          <w:rFonts w:ascii="Times New Roman" w:hAnsi="Times New Roman" w:cs="Times New Roman"/>
          <w:sz w:val="24"/>
          <w:szCs w:val="24"/>
        </w:rPr>
        <w:t xml:space="preserve"> is singled out as a distinctive specimen of the Assam school of manuscript painting, marked by its predominant use of red as base and background colour (p. 33), alongside a list of illuminated secular works such as the </w:t>
      </w:r>
      <w:proofErr w:type="spellStart"/>
      <w:r w:rsidRPr="00C310D3">
        <w:rPr>
          <w:rFonts w:ascii="Times New Roman" w:hAnsi="Times New Roman" w:cs="Times New Roman"/>
          <w:i/>
          <w:iCs/>
          <w:sz w:val="24"/>
          <w:szCs w:val="24"/>
        </w:rPr>
        <w:t>Hastividyārṇava</w:t>
      </w:r>
      <w:proofErr w:type="spellEnd"/>
      <w:r w:rsidRPr="00C310D3">
        <w:rPr>
          <w:rFonts w:ascii="Times New Roman" w:hAnsi="Times New Roman" w:cs="Times New Roman"/>
          <w:sz w:val="24"/>
          <w:szCs w:val="24"/>
        </w:rPr>
        <w:t xml:space="preserve"> and </w:t>
      </w:r>
      <w:proofErr w:type="spellStart"/>
      <w:r w:rsidRPr="00C310D3">
        <w:rPr>
          <w:rFonts w:ascii="Times New Roman" w:hAnsi="Times New Roman" w:cs="Times New Roman"/>
          <w:i/>
          <w:iCs/>
          <w:sz w:val="24"/>
          <w:szCs w:val="24"/>
        </w:rPr>
        <w:t>Gītagovinda</w:t>
      </w:r>
      <w:proofErr w:type="spellEnd"/>
      <w:r w:rsidRPr="00C310D3">
        <w:rPr>
          <w:rFonts w:ascii="Times New Roman" w:hAnsi="Times New Roman" w:cs="Times New Roman"/>
          <w:sz w:val="24"/>
          <w:szCs w:val="24"/>
        </w:rPr>
        <w:t>. This breadth, textual, social and visual, is one of the essay's more compelling strengths.</w:t>
      </w:r>
    </w:p>
    <w:p w14:paraId="4F5F8623" w14:textId="781599AD" w:rsidR="00C310D3" w:rsidRPr="00C310D3" w:rsidRDefault="00C310D3" w:rsidP="00CF12A2">
      <w:pPr>
        <w:spacing w:line="360" w:lineRule="auto"/>
        <w:jc w:val="both"/>
        <w:rPr>
          <w:rFonts w:ascii="Times New Roman" w:hAnsi="Times New Roman" w:cs="Times New Roman"/>
          <w:sz w:val="24"/>
          <w:szCs w:val="24"/>
        </w:rPr>
      </w:pPr>
      <w:r w:rsidRPr="00C310D3">
        <w:rPr>
          <w:rFonts w:ascii="Times New Roman" w:hAnsi="Times New Roman" w:cs="Times New Roman"/>
          <w:sz w:val="24"/>
          <w:szCs w:val="24"/>
        </w:rPr>
        <w:lastRenderedPageBreak/>
        <w:t xml:space="preserve">Turning to questions of editorial methodology, Dr. T. V. Vasudeva's essay on the </w:t>
      </w:r>
      <w:r w:rsidR="00C8542C">
        <w:rPr>
          <w:rFonts w:ascii="Times New Roman" w:hAnsi="Times New Roman" w:cs="Times New Roman"/>
          <w:i/>
          <w:iCs/>
          <w:sz w:val="24"/>
          <w:szCs w:val="24"/>
        </w:rPr>
        <w:t>P</w:t>
      </w:r>
      <w:r w:rsidRPr="000E24D3">
        <w:rPr>
          <w:rFonts w:ascii="Times New Roman" w:hAnsi="Times New Roman" w:cs="Times New Roman"/>
          <w:i/>
          <w:iCs/>
          <w:sz w:val="24"/>
          <w:szCs w:val="24"/>
        </w:rPr>
        <w:t xml:space="preserve">roblems of editing </w:t>
      </w:r>
      <w:proofErr w:type="spellStart"/>
      <w:r w:rsidRPr="000E24D3">
        <w:rPr>
          <w:rFonts w:ascii="Times New Roman" w:hAnsi="Times New Roman" w:cs="Times New Roman"/>
          <w:i/>
          <w:iCs/>
          <w:sz w:val="24"/>
          <w:szCs w:val="24"/>
        </w:rPr>
        <w:t>Grantha</w:t>
      </w:r>
      <w:proofErr w:type="spellEnd"/>
      <w:r w:rsidRPr="000E24D3">
        <w:rPr>
          <w:rFonts w:ascii="Times New Roman" w:hAnsi="Times New Roman" w:cs="Times New Roman"/>
          <w:i/>
          <w:iCs/>
          <w:sz w:val="24"/>
          <w:szCs w:val="24"/>
        </w:rPr>
        <w:t xml:space="preserve"> manuscripts</w:t>
      </w:r>
      <w:r w:rsidRPr="00C310D3">
        <w:rPr>
          <w:rFonts w:ascii="Times New Roman" w:hAnsi="Times New Roman" w:cs="Times New Roman"/>
          <w:sz w:val="24"/>
          <w:szCs w:val="24"/>
        </w:rPr>
        <w:t xml:space="preserve"> (pp. 37–44) dwells on the difficulty technical and Tantric terminology poses to both scribe and researcher. He illustrates this with a verse from the </w:t>
      </w:r>
      <w:proofErr w:type="spellStart"/>
      <w:r w:rsidRPr="00C310D3">
        <w:rPr>
          <w:rFonts w:ascii="Times New Roman" w:hAnsi="Times New Roman" w:cs="Times New Roman"/>
          <w:i/>
          <w:iCs/>
          <w:sz w:val="24"/>
          <w:szCs w:val="24"/>
        </w:rPr>
        <w:t>Haṁsayogapradīpa</w:t>
      </w:r>
      <w:proofErr w:type="spellEnd"/>
      <w:r w:rsidRPr="00C310D3">
        <w:rPr>
          <w:rFonts w:ascii="Times New Roman" w:hAnsi="Times New Roman" w:cs="Times New Roman"/>
          <w:sz w:val="24"/>
          <w:szCs w:val="24"/>
        </w:rPr>
        <w:t xml:space="preserve"> (III.47), where the term </w:t>
      </w:r>
      <w:proofErr w:type="spellStart"/>
      <w:r w:rsidRPr="00C310D3">
        <w:rPr>
          <w:rFonts w:ascii="Times New Roman" w:hAnsi="Times New Roman" w:cs="Times New Roman"/>
          <w:i/>
          <w:iCs/>
          <w:sz w:val="24"/>
          <w:szCs w:val="24"/>
        </w:rPr>
        <w:t>gomāṁsaṁ</w:t>
      </w:r>
      <w:proofErr w:type="spellEnd"/>
      <w:r w:rsidRPr="00C310D3">
        <w:rPr>
          <w:rFonts w:ascii="Times New Roman" w:hAnsi="Times New Roman" w:cs="Times New Roman"/>
          <w:sz w:val="24"/>
          <w:szCs w:val="24"/>
        </w:rPr>
        <w:t xml:space="preserve">, literally "cow's flesh," is shown by the following verse to actually denote the tongue, its true sense recoverable only through </w:t>
      </w:r>
      <w:proofErr w:type="spellStart"/>
      <w:r w:rsidRPr="00C310D3">
        <w:rPr>
          <w:rFonts w:ascii="Times New Roman" w:hAnsi="Times New Roman" w:cs="Times New Roman"/>
          <w:sz w:val="24"/>
          <w:szCs w:val="24"/>
        </w:rPr>
        <w:t>Āgamic</w:t>
      </w:r>
      <w:proofErr w:type="spellEnd"/>
      <w:r w:rsidRPr="00C310D3">
        <w:rPr>
          <w:rFonts w:ascii="Times New Roman" w:hAnsi="Times New Roman" w:cs="Times New Roman"/>
          <w:sz w:val="24"/>
          <w:szCs w:val="24"/>
        </w:rPr>
        <w:t xml:space="preserve"> convention (p. 42). Vasudeva also notes that unattributed citations and ambiguous verses often make it difficult to trace a passage's source or fix its correct reading, and observes more broadly that even prestigious manuscript collections risk losing their value when not properly maintained, despite the preservation guidelines laid down by the National Mission for Manuscripts (p. 43). Lavanya V. Eswar's later essay on </w:t>
      </w:r>
      <w:r w:rsidRPr="005A1323">
        <w:rPr>
          <w:rFonts w:ascii="Times New Roman" w:hAnsi="Times New Roman" w:cs="Times New Roman"/>
          <w:i/>
          <w:iCs/>
          <w:sz w:val="24"/>
          <w:szCs w:val="24"/>
        </w:rPr>
        <w:t>editing single manuscripts</w:t>
      </w:r>
      <w:r w:rsidRPr="00C310D3">
        <w:rPr>
          <w:rFonts w:ascii="Times New Roman" w:hAnsi="Times New Roman" w:cs="Times New Roman"/>
          <w:sz w:val="24"/>
          <w:szCs w:val="24"/>
        </w:rPr>
        <w:t xml:space="preserve"> (pp. 87–104) takes up a related but distinct problem: how an editor proceeds when a work survives in only one copy, with no second witness against which to check a doubtful reading. Working through three such texts, a </w:t>
      </w:r>
      <w:proofErr w:type="spellStart"/>
      <w:r w:rsidRPr="00C310D3">
        <w:rPr>
          <w:rFonts w:ascii="Times New Roman" w:hAnsi="Times New Roman" w:cs="Times New Roman"/>
          <w:i/>
          <w:iCs/>
          <w:sz w:val="24"/>
          <w:szCs w:val="24"/>
        </w:rPr>
        <w:t>campūkāvya</w:t>
      </w:r>
      <w:proofErr w:type="spellEnd"/>
      <w:r w:rsidRPr="00C310D3">
        <w:rPr>
          <w:rFonts w:ascii="Times New Roman" w:hAnsi="Times New Roman" w:cs="Times New Roman"/>
          <w:sz w:val="24"/>
          <w:szCs w:val="24"/>
        </w:rPr>
        <w:t xml:space="preserve">, a grammatical work with auto-commentary and a </w:t>
      </w:r>
      <w:proofErr w:type="spellStart"/>
      <w:r w:rsidRPr="00C310D3">
        <w:rPr>
          <w:rFonts w:ascii="Times New Roman" w:hAnsi="Times New Roman" w:cs="Times New Roman"/>
          <w:i/>
          <w:iCs/>
          <w:sz w:val="24"/>
          <w:szCs w:val="24"/>
        </w:rPr>
        <w:t>mahākāvya</w:t>
      </w:r>
      <w:proofErr w:type="spellEnd"/>
      <w:r w:rsidRPr="00C310D3">
        <w:rPr>
          <w:rFonts w:ascii="Times New Roman" w:hAnsi="Times New Roman" w:cs="Times New Roman"/>
          <w:sz w:val="24"/>
          <w:szCs w:val="24"/>
        </w:rPr>
        <w:t xml:space="preserve">, </w:t>
      </w:r>
      <w:r w:rsidR="009138DB">
        <w:rPr>
          <w:rFonts w:ascii="Times New Roman" w:hAnsi="Times New Roman" w:cs="Times New Roman"/>
          <w:sz w:val="24"/>
          <w:szCs w:val="24"/>
        </w:rPr>
        <w:t>the author</w:t>
      </w:r>
      <w:r w:rsidRPr="00C310D3">
        <w:rPr>
          <w:rFonts w:ascii="Times New Roman" w:hAnsi="Times New Roman" w:cs="Times New Roman"/>
          <w:sz w:val="24"/>
          <w:szCs w:val="24"/>
        </w:rPr>
        <w:t xml:space="preserve"> shows how a worm-eaten portion of verse was reconstructed by supplying a single missing syllable (Canto 4, v. 38) and how a sequence of misplaced verses was restored to its narrative order (Canto 10, vv. 40–71) (p. 101). </w:t>
      </w:r>
      <w:r w:rsidR="000C4F5A">
        <w:rPr>
          <w:rFonts w:ascii="Times New Roman" w:hAnsi="Times New Roman" w:cs="Times New Roman"/>
          <w:sz w:val="24"/>
          <w:szCs w:val="24"/>
        </w:rPr>
        <w:t>Author’s</w:t>
      </w:r>
      <w:r w:rsidRPr="00C310D3">
        <w:rPr>
          <w:rFonts w:ascii="Times New Roman" w:hAnsi="Times New Roman" w:cs="Times New Roman"/>
          <w:sz w:val="24"/>
          <w:szCs w:val="24"/>
        </w:rPr>
        <w:t xml:space="preserve"> conclusion is a sober one: without an auto-commentary, an editor's conjectures for a single manuscript can rarely be verified unless the passage happens to be quoted by a later author. Read together, these two essays usefully frame the volume's methodological concerns, even though they are separated in the book's sequence by several unrelated chapters.</w:t>
      </w:r>
    </w:p>
    <w:p w14:paraId="49E5FE95" w14:textId="221FB4E7" w:rsidR="00162771" w:rsidRDefault="007D75A5" w:rsidP="00CF12A2">
      <w:pPr>
        <w:spacing w:line="360" w:lineRule="auto"/>
        <w:jc w:val="both"/>
        <w:rPr>
          <w:rFonts w:ascii="Times New Roman" w:hAnsi="Times New Roman" w:cs="Times New Roman"/>
          <w:sz w:val="24"/>
          <w:szCs w:val="24"/>
        </w:rPr>
      </w:pPr>
      <w:r w:rsidRPr="007D75A5">
        <w:rPr>
          <w:rFonts w:ascii="Times New Roman" w:hAnsi="Times New Roman" w:cs="Times New Roman"/>
          <w:sz w:val="24"/>
          <w:szCs w:val="24"/>
        </w:rPr>
        <w:t xml:space="preserve">Dr. Utpal Das's essay on </w:t>
      </w:r>
      <w:r w:rsidR="00C8542C">
        <w:rPr>
          <w:rFonts w:ascii="Times New Roman" w:hAnsi="Times New Roman" w:cs="Times New Roman"/>
          <w:i/>
          <w:iCs/>
          <w:sz w:val="24"/>
          <w:szCs w:val="24"/>
        </w:rPr>
        <w:t>T</w:t>
      </w:r>
      <w:r w:rsidRPr="00052720">
        <w:rPr>
          <w:rFonts w:ascii="Times New Roman" w:hAnsi="Times New Roman" w:cs="Times New Roman"/>
          <w:i/>
          <w:iCs/>
          <w:sz w:val="24"/>
          <w:szCs w:val="24"/>
        </w:rPr>
        <w:t>raditional and modern techniques of manuscript preservation</w:t>
      </w:r>
      <w:r w:rsidRPr="007D75A5">
        <w:rPr>
          <w:rFonts w:ascii="Times New Roman" w:hAnsi="Times New Roman" w:cs="Times New Roman"/>
          <w:sz w:val="24"/>
          <w:szCs w:val="24"/>
        </w:rPr>
        <w:t xml:space="preserve"> (pp. 45–58) bridges the volume's regional and methodological strands. On the traditional side, he lists natural insecticides such as neem, tobacco, </w:t>
      </w:r>
      <w:proofErr w:type="spellStart"/>
      <w:r w:rsidRPr="007D75A5">
        <w:rPr>
          <w:rFonts w:ascii="Times New Roman" w:hAnsi="Times New Roman" w:cs="Times New Roman"/>
          <w:sz w:val="24"/>
          <w:szCs w:val="24"/>
        </w:rPr>
        <w:t>nirgandi</w:t>
      </w:r>
      <w:proofErr w:type="spellEnd"/>
      <w:r w:rsidRPr="007D75A5">
        <w:rPr>
          <w:rFonts w:ascii="Times New Roman" w:hAnsi="Times New Roman" w:cs="Times New Roman"/>
          <w:sz w:val="24"/>
          <w:szCs w:val="24"/>
        </w:rPr>
        <w:t xml:space="preserve"> and pudina, and notes the use of camphor as a vaporizer to keep moths away from manuscript repositories (p. 57). He also discusses fumigation as a form of natural preservation, observing that in Assam manuscript racks were traditionally placed in the kitchen itself, where smoke from daily cooking served as a passive deterrent against insects (p. 5</w:t>
      </w:r>
      <w:r w:rsidR="008A39D9">
        <w:rPr>
          <w:rFonts w:ascii="Times New Roman" w:hAnsi="Times New Roman" w:cs="Times New Roman"/>
          <w:sz w:val="24"/>
          <w:szCs w:val="24"/>
        </w:rPr>
        <w:t>7</w:t>
      </w:r>
      <w:r w:rsidRPr="007D75A5">
        <w:rPr>
          <w:rFonts w:ascii="Times New Roman" w:hAnsi="Times New Roman" w:cs="Times New Roman"/>
          <w:sz w:val="24"/>
          <w:szCs w:val="24"/>
        </w:rPr>
        <w:t>). Alongside these older practices, Das turns to modern scientific method, citing three laboratory techniques now commonly used in manuscript analysis: SEM, XRD and FTIR (p. 58). The juxtaposition is instructive: it shows how a domestic, almost incidental practice like keeping a rack above the hearth anticipated, in its own way, the same protective aim that today's laboratory instruments pursue with far greater precision.</w:t>
      </w:r>
      <w:r w:rsidR="00162771">
        <w:rPr>
          <w:rFonts w:ascii="Times New Roman" w:hAnsi="Times New Roman" w:cs="Times New Roman"/>
          <w:sz w:val="24"/>
          <w:szCs w:val="24"/>
        </w:rPr>
        <w:t xml:space="preserve"> </w:t>
      </w:r>
    </w:p>
    <w:p w14:paraId="705B9C77" w14:textId="016266A0" w:rsidR="00C310D3" w:rsidRPr="00C310D3" w:rsidRDefault="00C310D3" w:rsidP="00CF12A2">
      <w:pPr>
        <w:spacing w:line="360" w:lineRule="auto"/>
        <w:jc w:val="both"/>
        <w:rPr>
          <w:rFonts w:ascii="Times New Roman" w:hAnsi="Times New Roman" w:cs="Times New Roman"/>
          <w:sz w:val="24"/>
          <w:szCs w:val="24"/>
        </w:rPr>
      </w:pPr>
      <w:r w:rsidRPr="00C310D3">
        <w:rPr>
          <w:rFonts w:ascii="Times New Roman" w:hAnsi="Times New Roman" w:cs="Times New Roman"/>
          <w:sz w:val="24"/>
          <w:szCs w:val="24"/>
        </w:rPr>
        <w:lastRenderedPageBreak/>
        <w:t xml:space="preserve">The four essays that move outward to pan-Indian </w:t>
      </w:r>
      <w:r w:rsidR="009F2221">
        <w:rPr>
          <w:rFonts w:ascii="Times New Roman" w:hAnsi="Times New Roman" w:cs="Times New Roman"/>
          <w:sz w:val="24"/>
          <w:szCs w:val="24"/>
        </w:rPr>
        <w:t>M</w:t>
      </w:r>
      <w:r w:rsidRPr="00C310D3">
        <w:rPr>
          <w:rFonts w:ascii="Times New Roman" w:hAnsi="Times New Roman" w:cs="Times New Roman"/>
          <w:sz w:val="24"/>
          <w:szCs w:val="24"/>
        </w:rPr>
        <w:t xml:space="preserve">anuscriptology are among the volume's most information-dense. Dr. Manjula Devi's </w:t>
      </w:r>
      <w:r w:rsidR="00C8542C">
        <w:rPr>
          <w:rFonts w:ascii="Times New Roman" w:hAnsi="Times New Roman" w:cs="Times New Roman"/>
          <w:i/>
          <w:iCs/>
          <w:sz w:val="24"/>
          <w:szCs w:val="24"/>
        </w:rPr>
        <w:t>S</w:t>
      </w:r>
      <w:r w:rsidRPr="007E530C">
        <w:rPr>
          <w:rFonts w:ascii="Times New Roman" w:hAnsi="Times New Roman" w:cs="Times New Roman"/>
          <w:i/>
          <w:iCs/>
          <w:sz w:val="24"/>
          <w:szCs w:val="24"/>
        </w:rPr>
        <w:t xml:space="preserve">tudy of manuscript-writing in Sanskrit texts </w:t>
      </w:r>
      <w:r w:rsidRPr="00C310D3">
        <w:rPr>
          <w:rFonts w:ascii="Times New Roman" w:hAnsi="Times New Roman" w:cs="Times New Roman"/>
          <w:sz w:val="24"/>
          <w:szCs w:val="24"/>
        </w:rPr>
        <w:t xml:space="preserve">(pp. 59–70) draws together the qualifications expected of an ideal scribe. The </w:t>
      </w:r>
      <w:proofErr w:type="spellStart"/>
      <w:r w:rsidRPr="00C310D3">
        <w:rPr>
          <w:rFonts w:ascii="Times New Roman" w:hAnsi="Times New Roman" w:cs="Times New Roman"/>
          <w:i/>
          <w:iCs/>
          <w:sz w:val="24"/>
          <w:szCs w:val="24"/>
        </w:rPr>
        <w:t>Bhaviṣyapurāṇa</w:t>
      </w:r>
      <w:proofErr w:type="spellEnd"/>
      <w:r w:rsidRPr="00C310D3">
        <w:rPr>
          <w:rFonts w:ascii="Times New Roman" w:hAnsi="Times New Roman" w:cs="Times New Roman"/>
          <w:sz w:val="24"/>
          <w:szCs w:val="24"/>
        </w:rPr>
        <w:t xml:space="preserve"> asks for letters that are "equal and round-shaped and uninterrupted," while the </w:t>
      </w:r>
      <w:proofErr w:type="spellStart"/>
      <w:r w:rsidRPr="00C310D3">
        <w:rPr>
          <w:rFonts w:ascii="Times New Roman" w:hAnsi="Times New Roman" w:cs="Times New Roman"/>
          <w:i/>
          <w:iCs/>
          <w:sz w:val="24"/>
          <w:szCs w:val="24"/>
        </w:rPr>
        <w:t>Kāvyamīmāṁsā</w:t>
      </w:r>
      <w:proofErr w:type="spellEnd"/>
      <w:r w:rsidRPr="00C310D3">
        <w:rPr>
          <w:rFonts w:ascii="Times New Roman" w:hAnsi="Times New Roman" w:cs="Times New Roman"/>
          <w:sz w:val="24"/>
          <w:szCs w:val="24"/>
        </w:rPr>
        <w:t xml:space="preserve"> of </w:t>
      </w:r>
      <w:proofErr w:type="spellStart"/>
      <w:r w:rsidRPr="00C310D3">
        <w:rPr>
          <w:rFonts w:ascii="Times New Roman" w:hAnsi="Times New Roman" w:cs="Times New Roman"/>
          <w:sz w:val="24"/>
          <w:szCs w:val="24"/>
        </w:rPr>
        <w:t>Rājaśekhara</w:t>
      </w:r>
      <w:proofErr w:type="spellEnd"/>
      <w:r w:rsidRPr="00C310D3">
        <w:rPr>
          <w:rFonts w:ascii="Times New Roman" w:hAnsi="Times New Roman" w:cs="Times New Roman"/>
          <w:sz w:val="24"/>
          <w:szCs w:val="24"/>
        </w:rPr>
        <w:t xml:space="preserve"> adds that a scribe must be "conversant with the languages and the standard scripts" (p. 62). She further traces literary references to writing materials from the </w:t>
      </w:r>
      <w:proofErr w:type="spellStart"/>
      <w:r w:rsidRPr="00C310D3">
        <w:rPr>
          <w:rFonts w:ascii="Times New Roman" w:hAnsi="Times New Roman" w:cs="Times New Roman"/>
          <w:i/>
          <w:iCs/>
          <w:sz w:val="24"/>
          <w:szCs w:val="24"/>
        </w:rPr>
        <w:t>Abhijñānaśākuntala</w:t>
      </w:r>
      <w:r w:rsidRPr="00C310D3">
        <w:rPr>
          <w:rFonts w:ascii="Times New Roman" w:hAnsi="Times New Roman" w:cs="Times New Roman"/>
          <w:sz w:val="24"/>
          <w:szCs w:val="24"/>
        </w:rPr>
        <w:t>'s</w:t>
      </w:r>
      <w:proofErr w:type="spellEnd"/>
      <w:r w:rsidRPr="00C310D3">
        <w:rPr>
          <w:rFonts w:ascii="Times New Roman" w:hAnsi="Times New Roman" w:cs="Times New Roman"/>
          <w:sz w:val="24"/>
          <w:szCs w:val="24"/>
        </w:rPr>
        <w:t xml:space="preserve"> lotus leaf to the aloe-bark </w:t>
      </w:r>
      <w:proofErr w:type="spellStart"/>
      <w:r w:rsidRPr="00C310D3">
        <w:rPr>
          <w:rFonts w:ascii="Times New Roman" w:hAnsi="Times New Roman" w:cs="Times New Roman"/>
          <w:i/>
          <w:iCs/>
          <w:sz w:val="24"/>
          <w:szCs w:val="24"/>
        </w:rPr>
        <w:t>sāñcīpāt</w:t>
      </w:r>
      <w:proofErr w:type="spellEnd"/>
      <w:r w:rsidRPr="00C310D3">
        <w:rPr>
          <w:rFonts w:ascii="Times New Roman" w:hAnsi="Times New Roman" w:cs="Times New Roman"/>
          <w:sz w:val="24"/>
          <w:szCs w:val="24"/>
        </w:rPr>
        <w:t xml:space="preserve"> recorded in </w:t>
      </w:r>
      <w:proofErr w:type="spellStart"/>
      <w:r w:rsidRPr="00C310D3">
        <w:rPr>
          <w:rFonts w:ascii="Times New Roman" w:hAnsi="Times New Roman" w:cs="Times New Roman"/>
          <w:sz w:val="24"/>
          <w:szCs w:val="24"/>
        </w:rPr>
        <w:t>Bāṇabhaṭṭa's</w:t>
      </w:r>
      <w:proofErr w:type="spellEnd"/>
      <w:r w:rsidRPr="00C310D3">
        <w:rPr>
          <w:rFonts w:ascii="Times New Roman" w:hAnsi="Times New Roman" w:cs="Times New Roman"/>
          <w:sz w:val="24"/>
          <w:szCs w:val="24"/>
        </w:rPr>
        <w:t xml:space="preserve"> seventh-century </w:t>
      </w:r>
      <w:proofErr w:type="spellStart"/>
      <w:r w:rsidRPr="00C310D3">
        <w:rPr>
          <w:rFonts w:ascii="Times New Roman" w:hAnsi="Times New Roman" w:cs="Times New Roman"/>
          <w:i/>
          <w:iCs/>
          <w:sz w:val="24"/>
          <w:szCs w:val="24"/>
        </w:rPr>
        <w:t>Harṣacarita</w:t>
      </w:r>
      <w:proofErr w:type="spellEnd"/>
      <w:r w:rsidRPr="00C310D3">
        <w:rPr>
          <w:rFonts w:ascii="Times New Roman" w:hAnsi="Times New Roman" w:cs="Times New Roman"/>
          <w:sz w:val="24"/>
          <w:szCs w:val="24"/>
        </w:rPr>
        <w:t xml:space="preserve"> (p. 65). Dr. V. Yamuna Devi's essay on the </w:t>
      </w:r>
      <w:r w:rsidRPr="002F3EDF">
        <w:rPr>
          <w:rFonts w:ascii="Times New Roman" w:hAnsi="Times New Roman" w:cs="Times New Roman"/>
          <w:i/>
          <w:iCs/>
          <w:sz w:val="24"/>
          <w:szCs w:val="24"/>
        </w:rPr>
        <w:t>eras used in Indian manuscripts</w:t>
      </w:r>
      <w:r w:rsidRPr="00C310D3">
        <w:rPr>
          <w:rFonts w:ascii="Times New Roman" w:hAnsi="Times New Roman" w:cs="Times New Roman"/>
          <w:sz w:val="24"/>
          <w:szCs w:val="24"/>
        </w:rPr>
        <w:t xml:space="preserve"> (pp. 71–78) explains the </w:t>
      </w:r>
      <w:proofErr w:type="spellStart"/>
      <w:r w:rsidRPr="00C310D3">
        <w:rPr>
          <w:rFonts w:ascii="Times New Roman" w:hAnsi="Times New Roman" w:cs="Times New Roman"/>
          <w:i/>
          <w:iCs/>
          <w:sz w:val="24"/>
          <w:szCs w:val="24"/>
        </w:rPr>
        <w:t>bhūtasaṅkhyā</w:t>
      </w:r>
      <w:proofErr w:type="spellEnd"/>
      <w:r w:rsidRPr="00C310D3">
        <w:rPr>
          <w:rFonts w:ascii="Times New Roman" w:hAnsi="Times New Roman" w:cs="Times New Roman"/>
          <w:sz w:val="24"/>
          <w:szCs w:val="24"/>
        </w:rPr>
        <w:t xml:space="preserve"> convention, by which ordinary words were used to encode numbers, "hand" for two, "arrow" for five, after </w:t>
      </w:r>
      <w:proofErr w:type="spellStart"/>
      <w:r w:rsidRPr="00C310D3">
        <w:rPr>
          <w:rFonts w:ascii="Times New Roman" w:hAnsi="Times New Roman" w:cs="Times New Roman"/>
          <w:sz w:val="24"/>
          <w:szCs w:val="24"/>
        </w:rPr>
        <w:t>Kāma's</w:t>
      </w:r>
      <w:proofErr w:type="spellEnd"/>
      <w:r w:rsidRPr="00C310D3">
        <w:rPr>
          <w:rFonts w:ascii="Times New Roman" w:hAnsi="Times New Roman" w:cs="Times New Roman"/>
          <w:sz w:val="24"/>
          <w:szCs w:val="24"/>
        </w:rPr>
        <w:t xml:space="preserve"> five flower-tipped arrows, and offers a striking demonstration of the alternative </w:t>
      </w:r>
      <w:proofErr w:type="spellStart"/>
      <w:r w:rsidRPr="00C310D3">
        <w:rPr>
          <w:rFonts w:ascii="Times New Roman" w:hAnsi="Times New Roman" w:cs="Times New Roman"/>
          <w:i/>
          <w:iCs/>
          <w:sz w:val="24"/>
          <w:szCs w:val="24"/>
        </w:rPr>
        <w:t>kaṭapaya</w:t>
      </w:r>
      <w:proofErr w:type="spellEnd"/>
      <w:r w:rsidRPr="00C310D3">
        <w:rPr>
          <w:rFonts w:ascii="Times New Roman" w:hAnsi="Times New Roman" w:cs="Times New Roman"/>
          <w:sz w:val="24"/>
          <w:szCs w:val="24"/>
        </w:rPr>
        <w:t xml:space="preserve"> system, under which a Sanskrit phrase is shown to encode the value of π correct to well over a dozen digits (p. 77). Dr. P. C. Muralidharan's survey of ancient writing materials (pp. 105–118) ranges from birch bark and Assam's own </w:t>
      </w:r>
      <w:proofErr w:type="spellStart"/>
      <w:r w:rsidRPr="00C310D3">
        <w:rPr>
          <w:rFonts w:ascii="Times New Roman" w:hAnsi="Times New Roman" w:cs="Times New Roman"/>
          <w:i/>
          <w:iCs/>
          <w:sz w:val="24"/>
          <w:szCs w:val="24"/>
        </w:rPr>
        <w:t>sācīpāt</w:t>
      </w:r>
      <w:proofErr w:type="spellEnd"/>
      <w:r w:rsidRPr="00C310D3">
        <w:rPr>
          <w:rFonts w:ascii="Times New Roman" w:hAnsi="Times New Roman" w:cs="Times New Roman"/>
          <w:sz w:val="24"/>
          <w:szCs w:val="24"/>
        </w:rPr>
        <w:t xml:space="preserve"> (p. 108–109) to stone, tin, brick, leather and ivory, noting, among other curiosities, a set of </w:t>
      </w:r>
      <w:proofErr w:type="spellStart"/>
      <w:r w:rsidRPr="00C310D3">
        <w:rPr>
          <w:rFonts w:ascii="Times New Roman" w:hAnsi="Times New Roman" w:cs="Times New Roman"/>
          <w:i/>
          <w:iCs/>
          <w:sz w:val="24"/>
          <w:szCs w:val="24"/>
        </w:rPr>
        <w:t>Gītagovinda</w:t>
      </w:r>
      <w:proofErr w:type="spellEnd"/>
      <w:r w:rsidRPr="00C310D3">
        <w:rPr>
          <w:rFonts w:ascii="Times New Roman" w:hAnsi="Times New Roman" w:cs="Times New Roman"/>
          <w:sz w:val="24"/>
          <w:szCs w:val="24"/>
        </w:rPr>
        <w:t xml:space="preserve"> verses engraved on ivory sheets preserved in the Odisha State Museum (p. 113). Dr. V. Preethi's essay on the </w:t>
      </w:r>
      <w:r w:rsidRPr="008564CF">
        <w:rPr>
          <w:rFonts w:ascii="Times New Roman" w:hAnsi="Times New Roman" w:cs="Times New Roman"/>
          <w:i/>
          <w:iCs/>
          <w:sz w:val="24"/>
          <w:szCs w:val="24"/>
        </w:rPr>
        <w:t>origin and development of Indian scripts</w:t>
      </w:r>
      <w:r w:rsidRPr="00C310D3">
        <w:rPr>
          <w:rFonts w:ascii="Times New Roman" w:hAnsi="Times New Roman" w:cs="Times New Roman"/>
          <w:sz w:val="24"/>
          <w:szCs w:val="24"/>
        </w:rPr>
        <w:t xml:space="preserve"> (pp. 119–134) traces the full genealogy from </w:t>
      </w:r>
      <w:proofErr w:type="spellStart"/>
      <w:r w:rsidRPr="00C310D3">
        <w:rPr>
          <w:rFonts w:ascii="Times New Roman" w:hAnsi="Times New Roman" w:cs="Times New Roman"/>
          <w:sz w:val="24"/>
          <w:szCs w:val="24"/>
        </w:rPr>
        <w:t>Brāhmī</w:t>
      </w:r>
      <w:proofErr w:type="spellEnd"/>
      <w:r w:rsidRPr="00C310D3">
        <w:rPr>
          <w:rFonts w:ascii="Times New Roman" w:hAnsi="Times New Roman" w:cs="Times New Roman"/>
          <w:sz w:val="24"/>
          <w:szCs w:val="24"/>
        </w:rPr>
        <w:t xml:space="preserve"> and </w:t>
      </w:r>
      <w:proofErr w:type="spellStart"/>
      <w:r w:rsidRPr="00C310D3">
        <w:rPr>
          <w:rFonts w:ascii="Times New Roman" w:hAnsi="Times New Roman" w:cs="Times New Roman"/>
          <w:sz w:val="24"/>
          <w:szCs w:val="24"/>
        </w:rPr>
        <w:t>Kharoṣṭhī</w:t>
      </w:r>
      <w:proofErr w:type="spellEnd"/>
      <w:r w:rsidRPr="00C310D3">
        <w:rPr>
          <w:rFonts w:ascii="Times New Roman" w:hAnsi="Times New Roman" w:cs="Times New Roman"/>
          <w:sz w:val="24"/>
          <w:szCs w:val="24"/>
        </w:rPr>
        <w:t xml:space="preserve"> down through their regional descendants, </w:t>
      </w:r>
      <w:proofErr w:type="spellStart"/>
      <w:r w:rsidRPr="00C310D3">
        <w:rPr>
          <w:rFonts w:ascii="Times New Roman" w:hAnsi="Times New Roman" w:cs="Times New Roman"/>
          <w:sz w:val="24"/>
          <w:szCs w:val="24"/>
        </w:rPr>
        <w:t>Grantha</w:t>
      </w:r>
      <w:proofErr w:type="spellEnd"/>
      <w:r w:rsidRPr="00C310D3">
        <w:rPr>
          <w:rFonts w:ascii="Times New Roman" w:hAnsi="Times New Roman" w:cs="Times New Roman"/>
          <w:sz w:val="24"/>
          <w:szCs w:val="24"/>
        </w:rPr>
        <w:t xml:space="preserve">, Kannada, </w:t>
      </w:r>
      <w:proofErr w:type="spellStart"/>
      <w:r w:rsidRPr="00C310D3">
        <w:rPr>
          <w:rFonts w:ascii="Times New Roman" w:hAnsi="Times New Roman" w:cs="Times New Roman"/>
          <w:sz w:val="24"/>
          <w:szCs w:val="24"/>
        </w:rPr>
        <w:t>Nandināgarī</w:t>
      </w:r>
      <w:proofErr w:type="spellEnd"/>
      <w:r w:rsidRPr="00C310D3">
        <w:rPr>
          <w:rFonts w:ascii="Times New Roman" w:hAnsi="Times New Roman" w:cs="Times New Roman"/>
          <w:sz w:val="24"/>
          <w:szCs w:val="24"/>
        </w:rPr>
        <w:t xml:space="preserve">, </w:t>
      </w:r>
      <w:proofErr w:type="spellStart"/>
      <w:r w:rsidRPr="00C310D3">
        <w:rPr>
          <w:rFonts w:ascii="Times New Roman" w:hAnsi="Times New Roman" w:cs="Times New Roman"/>
          <w:sz w:val="24"/>
          <w:szCs w:val="24"/>
        </w:rPr>
        <w:t>Śāradā</w:t>
      </w:r>
      <w:proofErr w:type="spellEnd"/>
      <w:r w:rsidRPr="00C310D3">
        <w:rPr>
          <w:rFonts w:ascii="Times New Roman" w:hAnsi="Times New Roman" w:cs="Times New Roman"/>
          <w:sz w:val="24"/>
          <w:szCs w:val="24"/>
        </w:rPr>
        <w:t xml:space="preserve"> and others, concluding simply that "script is a particular system or style of writing... a symbolic representation of sounds of a particular language" (p. 133), a definition that, in effect, quietly underwrites the entire volume's subject matter.</w:t>
      </w:r>
    </w:p>
    <w:p w14:paraId="058E724D" w14:textId="46771B56" w:rsidR="00C310D3" w:rsidRPr="00C310D3" w:rsidRDefault="00C310D3" w:rsidP="00CF12A2">
      <w:pPr>
        <w:spacing w:line="360" w:lineRule="auto"/>
        <w:jc w:val="both"/>
        <w:rPr>
          <w:rFonts w:ascii="Times New Roman" w:hAnsi="Times New Roman" w:cs="Times New Roman"/>
          <w:sz w:val="24"/>
          <w:szCs w:val="24"/>
        </w:rPr>
      </w:pPr>
      <w:r w:rsidRPr="00C310D3">
        <w:rPr>
          <w:rFonts w:ascii="Times New Roman" w:hAnsi="Times New Roman" w:cs="Times New Roman"/>
          <w:sz w:val="24"/>
          <w:szCs w:val="24"/>
        </w:rPr>
        <w:t xml:space="preserve">Dr. Maitreyi Goswami's survey of Assam's </w:t>
      </w:r>
      <w:proofErr w:type="spellStart"/>
      <w:r w:rsidR="00444626" w:rsidRPr="00494681">
        <w:rPr>
          <w:rFonts w:ascii="Times New Roman" w:hAnsi="Times New Roman" w:cs="Times New Roman"/>
          <w:i/>
          <w:iCs/>
          <w:sz w:val="24"/>
          <w:szCs w:val="24"/>
        </w:rPr>
        <w:t>Sā</w:t>
      </w:r>
      <w:r w:rsidR="00494681" w:rsidRPr="00494681">
        <w:rPr>
          <w:rFonts w:ascii="Times New Roman" w:hAnsi="Times New Roman" w:cs="Times New Roman"/>
          <w:i/>
          <w:iCs/>
          <w:sz w:val="24"/>
          <w:szCs w:val="24"/>
        </w:rPr>
        <w:t>c</w:t>
      </w:r>
      <w:r w:rsidR="00DA2AF2">
        <w:rPr>
          <w:rFonts w:ascii="Times New Roman" w:hAnsi="Times New Roman" w:cs="Times New Roman"/>
          <w:i/>
          <w:iCs/>
          <w:sz w:val="24"/>
          <w:szCs w:val="24"/>
        </w:rPr>
        <w:t>i</w:t>
      </w:r>
      <w:r w:rsidR="00494681" w:rsidRPr="00494681">
        <w:rPr>
          <w:rFonts w:ascii="Times New Roman" w:hAnsi="Times New Roman" w:cs="Times New Roman"/>
          <w:i/>
          <w:iCs/>
          <w:sz w:val="24"/>
          <w:szCs w:val="24"/>
        </w:rPr>
        <w:t>pāt</w:t>
      </w:r>
      <w:proofErr w:type="spellEnd"/>
      <w:r w:rsidRPr="00494681">
        <w:rPr>
          <w:rFonts w:ascii="Times New Roman" w:hAnsi="Times New Roman" w:cs="Times New Roman"/>
          <w:i/>
          <w:iCs/>
          <w:sz w:val="24"/>
          <w:szCs w:val="24"/>
        </w:rPr>
        <w:t xml:space="preserve"> </w:t>
      </w:r>
      <w:r w:rsidRPr="00C310D3">
        <w:rPr>
          <w:rFonts w:ascii="Times New Roman" w:hAnsi="Times New Roman" w:cs="Times New Roman"/>
          <w:sz w:val="24"/>
          <w:szCs w:val="24"/>
        </w:rPr>
        <w:t>manuscript holdings</w:t>
      </w:r>
      <w:r w:rsidR="00820D12">
        <w:rPr>
          <w:rFonts w:ascii="Times New Roman" w:hAnsi="Times New Roman" w:cs="Times New Roman"/>
          <w:sz w:val="24"/>
          <w:szCs w:val="24"/>
        </w:rPr>
        <w:t xml:space="preserve"> titled as </w:t>
      </w:r>
      <w:proofErr w:type="spellStart"/>
      <w:r w:rsidR="0027088C" w:rsidRPr="00CF12A2">
        <w:rPr>
          <w:rFonts w:ascii="Times New Roman" w:hAnsi="Times New Roman" w:cs="Times New Roman"/>
          <w:i/>
          <w:iCs/>
          <w:sz w:val="24"/>
          <w:szCs w:val="24"/>
        </w:rPr>
        <w:t>Axamīyā</w:t>
      </w:r>
      <w:proofErr w:type="spellEnd"/>
      <w:r w:rsidR="0027088C" w:rsidRPr="00CF12A2">
        <w:rPr>
          <w:rFonts w:ascii="Times New Roman" w:hAnsi="Times New Roman" w:cs="Times New Roman"/>
          <w:i/>
          <w:iCs/>
          <w:sz w:val="24"/>
          <w:szCs w:val="24"/>
        </w:rPr>
        <w:t xml:space="preserve"> </w:t>
      </w:r>
      <w:proofErr w:type="spellStart"/>
      <w:r w:rsidR="0027088C" w:rsidRPr="00CF12A2">
        <w:rPr>
          <w:rFonts w:ascii="Times New Roman" w:hAnsi="Times New Roman" w:cs="Times New Roman"/>
          <w:i/>
          <w:iCs/>
          <w:sz w:val="24"/>
          <w:szCs w:val="24"/>
        </w:rPr>
        <w:t>Sācipatīyā</w:t>
      </w:r>
      <w:proofErr w:type="spellEnd"/>
      <w:r w:rsidR="0027088C" w:rsidRPr="00CF12A2">
        <w:rPr>
          <w:rFonts w:ascii="Times New Roman" w:hAnsi="Times New Roman" w:cs="Times New Roman"/>
          <w:i/>
          <w:iCs/>
          <w:sz w:val="24"/>
          <w:szCs w:val="24"/>
        </w:rPr>
        <w:t xml:space="preserve"> </w:t>
      </w:r>
      <w:proofErr w:type="spellStart"/>
      <w:r w:rsidR="0027088C" w:rsidRPr="00CF12A2">
        <w:rPr>
          <w:rFonts w:ascii="Times New Roman" w:hAnsi="Times New Roman" w:cs="Times New Roman"/>
          <w:i/>
          <w:iCs/>
          <w:sz w:val="24"/>
          <w:szCs w:val="24"/>
        </w:rPr>
        <w:t>Pu</w:t>
      </w:r>
      <w:r w:rsidR="00B66D91" w:rsidRPr="00CF12A2">
        <w:rPr>
          <w:rFonts w:ascii="Times New Roman" w:hAnsi="Times New Roman" w:cs="Times New Roman"/>
          <w:i/>
          <w:iCs/>
          <w:sz w:val="24"/>
          <w:szCs w:val="24"/>
        </w:rPr>
        <w:t>thisam</w:t>
      </w:r>
      <w:r w:rsidR="00483FCA" w:rsidRPr="00CF12A2">
        <w:rPr>
          <w:rFonts w:ascii="Times New Roman" w:hAnsi="Times New Roman" w:cs="Times New Roman"/>
          <w:i/>
          <w:iCs/>
          <w:sz w:val="24"/>
          <w:szCs w:val="24"/>
        </w:rPr>
        <w:t>ūhar</w:t>
      </w:r>
      <w:proofErr w:type="spellEnd"/>
      <w:r w:rsidR="00483FCA" w:rsidRPr="00CF12A2">
        <w:rPr>
          <w:rFonts w:ascii="Times New Roman" w:hAnsi="Times New Roman" w:cs="Times New Roman"/>
          <w:i/>
          <w:iCs/>
          <w:sz w:val="24"/>
          <w:szCs w:val="24"/>
        </w:rPr>
        <w:t xml:space="preserve"> </w:t>
      </w:r>
      <w:proofErr w:type="spellStart"/>
      <w:r w:rsidR="00483FCA" w:rsidRPr="00CF12A2">
        <w:rPr>
          <w:rFonts w:ascii="Times New Roman" w:hAnsi="Times New Roman" w:cs="Times New Roman"/>
          <w:i/>
          <w:iCs/>
          <w:sz w:val="24"/>
          <w:szCs w:val="24"/>
        </w:rPr>
        <w:t>Ek</w:t>
      </w:r>
      <w:proofErr w:type="spellEnd"/>
      <w:r w:rsidR="00483FCA" w:rsidRPr="00CF12A2">
        <w:rPr>
          <w:rFonts w:ascii="Times New Roman" w:hAnsi="Times New Roman" w:cs="Times New Roman"/>
          <w:i/>
          <w:iCs/>
          <w:sz w:val="24"/>
          <w:szCs w:val="24"/>
        </w:rPr>
        <w:t xml:space="preserve"> </w:t>
      </w:r>
      <w:proofErr w:type="spellStart"/>
      <w:r w:rsidR="00483FCA" w:rsidRPr="00CF12A2">
        <w:rPr>
          <w:rFonts w:ascii="Times New Roman" w:hAnsi="Times New Roman" w:cs="Times New Roman"/>
          <w:i/>
          <w:iCs/>
          <w:sz w:val="24"/>
          <w:szCs w:val="24"/>
        </w:rPr>
        <w:t>Ava</w:t>
      </w:r>
      <w:r w:rsidR="00CF12A2" w:rsidRPr="00CF12A2">
        <w:rPr>
          <w:rFonts w:ascii="Times New Roman" w:hAnsi="Times New Roman" w:cs="Times New Roman"/>
          <w:i/>
          <w:iCs/>
          <w:sz w:val="24"/>
          <w:szCs w:val="24"/>
        </w:rPr>
        <w:t>lokan</w:t>
      </w:r>
      <w:proofErr w:type="spellEnd"/>
      <w:r w:rsidRPr="00C310D3">
        <w:rPr>
          <w:rFonts w:ascii="Times New Roman" w:hAnsi="Times New Roman" w:cs="Times New Roman"/>
          <w:sz w:val="24"/>
          <w:szCs w:val="24"/>
        </w:rPr>
        <w:t xml:space="preserve"> (pp. 79–86) turns to the scribe's own responsibility for a manuscript's integrity, stressing that a copyist must be disciplined, truthful and attentive if the text is to survive uncorrupted. She also discusses the </w:t>
      </w:r>
      <w:proofErr w:type="spellStart"/>
      <w:r w:rsidRPr="00C310D3">
        <w:rPr>
          <w:rFonts w:ascii="Times New Roman" w:hAnsi="Times New Roman" w:cs="Times New Roman"/>
          <w:i/>
          <w:iCs/>
          <w:sz w:val="24"/>
          <w:szCs w:val="24"/>
        </w:rPr>
        <w:t>śeṣāṁśa</w:t>
      </w:r>
      <w:proofErr w:type="spellEnd"/>
      <w:r w:rsidRPr="00C310D3">
        <w:rPr>
          <w:rFonts w:ascii="Times New Roman" w:hAnsi="Times New Roman" w:cs="Times New Roman"/>
          <w:sz w:val="24"/>
          <w:szCs w:val="24"/>
        </w:rPr>
        <w:t xml:space="preserve">, the colophon-like closing portion of a manuscript recording its name, scribe, place and patron, illustrating this with an example drawn from the </w:t>
      </w:r>
      <w:proofErr w:type="spellStart"/>
      <w:r w:rsidRPr="00C310D3">
        <w:rPr>
          <w:rFonts w:ascii="Times New Roman" w:hAnsi="Times New Roman" w:cs="Times New Roman"/>
          <w:i/>
          <w:iCs/>
          <w:sz w:val="24"/>
          <w:szCs w:val="24"/>
        </w:rPr>
        <w:t>Grahaṇakaumudī</w:t>
      </w:r>
      <w:proofErr w:type="spellEnd"/>
      <w:r w:rsidRPr="00C310D3">
        <w:rPr>
          <w:rFonts w:ascii="Times New Roman" w:hAnsi="Times New Roman" w:cs="Times New Roman"/>
          <w:sz w:val="24"/>
          <w:szCs w:val="24"/>
        </w:rPr>
        <w:t xml:space="preserve"> of </w:t>
      </w:r>
      <w:proofErr w:type="spellStart"/>
      <w:r w:rsidRPr="00C310D3">
        <w:rPr>
          <w:rFonts w:ascii="Times New Roman" w:hAnsi="Times New Roman" w:cs="Times New Roman"/>
          <w:sz w:val="24"/>
          <w:szCs w:val="24"/>
        </w:rPr>
        <w:t>Pītāmbara</w:t>
      </w:r>
      <w:proofErr w:type="spellEnd"/>
      <w:r w:rsidRPr="00C310D3">
        <w:rPr>
          <w:rFonts w:ascii="Times New Roman" w:hAnsi="Times New Roman" w:cs="Times New Roman"/>
          <w:sz w:val="24"/>
          <w:szCs w:val="24"/>
        </w:rPr>
        <w:t xml:space="preserve"> </w:t>
      </w:r>
      <w:proofErr w:type="spellStart"/>
      <w:r w:rsidRPr="00C310D3">
        <w:rPr>
          <w:rFonts w:ascii="Times New Roman" w:hAnsi="Times New Roman" w:cs="Times New Roman"/>
          <w:sz w:val="24"/>
          <w:szCs w:val="24"/>
        </w:rPr>
        <w:t>Siddhānta</w:t>
      </w:r>
      <w:proofErr w:type="spellEnd"/>
      <w:r w:rsidRPr="00C310D3">
        <w:rPr>
          <w:rFonts w:ascii="Times New Roman" w:hAnsi="Times New Roman" w:cs="Times New Roman"/>
          <w:sz w:val="24"/>
          <w:szCs w:val="24"/>
        </w:rPr>
        <w:t xml:space="preserve"> </w:t>
      </w:r>
      <w:proofErr w:type="spellStart"/>
      <w:r w:rsidRPr="00C310D3">
        <w:rPr>
          <w:rFonts w:ascii="Times New Roman" w:hAnsi="Times New Roman" w:cs="Times New Roman"/>
          <w:sz w:val="24"/>
          <w:szCs w:val="24"/>
        </w:rPr>
        <w:t>Bāgīśa</w:t>
      </w:r>
      <w:proofErr w:type="spellEnd"/>
      <w:r w:rsidRPr="00C310D3">
        <w:rPr>
          <w:rFonts w:ascii="Times New Roman" w:hAnsi="Times New Roman" w:cs="Times New Roman"/>
          <w:sz w:val="24"/>
          <w:szCs w:val="24"/>
        </w:rPr>
        <w:t xml:space="preserve"> (p. 83). The volume closes fittingly with N. </w:t>
      </w:r>
      <w:proofErr w:type="spellStart"/>
      <w:r w:rsidRPr="00C310D3">
        <w:rPr>
          <w:rFonts w:ascii="Times New Roman" w:hAnsi="Times New Roman" w:cs="Times New Roman"/>
          <w:sz w:val="24"/>
          <w:szCs w:val="24"/>
        </w:rPr>
        <w:t>Lahkar</w:t>
      </w:r>
      <w:proofErr w:type="spellEnd"/>
      <w:r w:rsidRPr="00C310D3">
        <w:rPr>
          <w:rFonts w:ascii="Times New Roman" w:hAnsi="Times New Roman" w:cs="Times New Roman"/>
          <w:sz w:val="24"/>
          <w:szCs w:val="24"/>
        </w:rPr>
        <w:t xml:space="preserve"> and D. </w:t>
      </w:r>
      <w:proofErr w:type="spellStart"/>
      <w:r w:rsidRPr="00C310D3">
        <w:rPr>
          <w:rFonts w:ascii="Times New Roman" w:hAnsi="Times New Roman" w:cs="Times New Roman"/>
          <w:sz w:val="24"/>
          <w:szCs w:val="24"/>
        </w:rPr>
        <w:t>Patgiri's</w:t>
      </w:r>
      <w:proofErr w:type="spellEnd"/>
      <w:r w:rsidRPr="00C310D3">
        <w:rPr>
          <w:rFonts w:ascii="Times New Roman" w:hAnsi="Times New Roman" w:cs="Times New Roman"/>
          <w:sz w:val="24"/>
          <w:szCs w:val="24"/>
        </w:rPr>
        <w:t xml:space="preserve"> chapter on the conservation and digitization of rare manuscripts in Assam's university libraries (pp. 135–155), a data-driven study comparing the manuscript collections of Gauhati University and Dibrugarh University. The findings are revealing: Gauhati University holds some 4,500 manuscripts against Dibrugarh's 800, yet it is Dibrugarh that practises fumigation and indigenous plant-based conservation methods, while Gauhati relies chiefly on resizing (p. 152); conversely, Gauhati</w:t>
      </w:r>
      <w:r w:rsidR="00550E09">
        <w:rPr>
          <w:rFonts w:ascii="Times New Roman" w:hAnsi="Times New Roman" w:cs="Times New Roman"/>
          <w:sz w:val="24"/>
          <w:szCs w:val="24"/>
        </w:rPr>
        <w:t xml:space="preserve"> University</w:t>
      </w:r>
      <w:r w:rsidRPr="00C310D3">
        <w:rPr>
          <w:rFonts w:ascii="Times New Roman" w:hAnsi="Times New Roman" w:cs="Times New Roman"/>
          <w:sz w:val="24"/>
          <w:szCs w:val="24"/>
        </w:rPr>
        <w:t xml:space="preserve"> has digitized nearly half its collection (46.67%) against Dibrugarh</w:t>
      </w:r>
      <w:r w:rsidR="00CF12A2">
        <w:rPr>
          <w:rFonts w:ascii="Times New Roman" w:hAnsi="Times New Roman" w:cs="Times New Roman"/>
          <w:sz w:val="24"/>
          <w:szCs w:val="24"/>
        </w:rPr>
        <w:t xml:space="preserve"> </w:t>
      </w:r>
      <w:r w:rsidR="008343B1">
        <w:rPr>
          <w:rFonts w:ascii="Times New Roman" w:hAnsi="Times New Roman" w:cs="Times New Roman"/>
          <w:sz w:val="24"/>
          <w:szCs w:val="24"/>
        </w:rPr>
        <w:t>University’s</w:t>
      </w:r>
      <w:r w:rsidRPr="00C310D3">
        <w:rPr>
          <w:rFonts w:ascii="Times New Roman" w:hAnsi="Times New Roman" w:cs="Times New Roman"/>
          <w:sz w:val="24"/>
          <w:szCs w:val="24"/>
        </w:rPr>
        <w:t xml:space="preserve"> 2.75%, and only </w:t>
      </w:r>
      <w:r w:rsidR="008343B1">
        <w:rPr>
          <w:rFonts w:ascii="Times New Roman" w:hAnsi="Times New Roman" w:cs="Times New Roman"/>
          <w:sz w:val="24"/>
          <w:szCs w:val="24"/>
        </w:rPr>
        <w:t>the former</w:t>
      </w:r>
      <w:r w:rsidRPr="00C310D3">
        <w:rPr>
          <w:rFonts w:ascii="Times New Roman" w:hAnsi="Times New Roman" w:cs="Times New Roman"/>
          <w:sz w:val="24"/>
          <w:szCs w:val="24"/>
        </w:rPr>
        <w:t xml:space="preserve"> has </w:t>
      </w:r>
      <w:r w:rsidRPr="00C310D3">
        <w:rPr>
          <w:rFonts w:ascii="Times New Roman" w:hAnsi="Times New Roman" w:cs="Times New Roman"/>
          <w:sz w:val="24"/>
          <w:szCs w:val="24"/>
        </w:rPr>
        <w:lastRenderedPageBreak/>
        <w:t>uploaded its digitized holdings to the National Mission for Manuscripts' repository (p. 153). This chapter's institutional, comparative approach gives the volume a practical, forward-looking close.</w:t>
      </w:r>
    </w:p>
    <w:p w14:paraId="3029022D" w14:textId="77777777" w:rsidR="00CF12A2" w:rsidRDefault="00C310D3" w:rsidP="00CF12A2">
      <w:pPr>
        <w:spacing w:line="360" w:lineRule="auto"/>
        <w:jc w:val="both"/>
        <w:rPr>
          <w:rFonts w:ascii="Times New Roman" w:hAnsi="Times New Roman" w:cs="Times New Roman"/>
          <w:sz w:val="24"/>
          <w:szCs w:val="24"/>
        </w:rPr>
      </w:pPr>
      <w:r w:rsidRPr="00C310D3">
        <w:rPr>
          <w:rFonts w:ascii="Times New Roman" w:hAnsi="Times New Roman" w:cs="Times New Roman"/>
          <w:sz w:val="24"/>
          <w:szCs w:val="24"/>
        </w:rPr>
        <w:t xml:space="preserve">The book is a valuable addition to the growing literature on Indian </w:t>
      </w:r>
      <w:r w:rsidR="00C57C28">
        <w:rPr>
          <w:rFonts w:ascii="Times New Roman" w:hAnsi="Times New Roman" w:cs="Times New Roman"/>
          <w:sz w:val="24"/>
          <w:szCs w:val="24"/>
        </w:rPr>
        <w:t>M</w:t>
      </w:r>
      <w:r w:rsidRPr="00C310D3">
        <w:rPr>
          <w:rFonts w:ascii="Times New Roman" w:hAnsi="Times New Roman" w:cs="Times New Roman"/>
          <w:sz w:val="24"/>
          <w:szCs w:val="24"/>
        </w:rPr>
        <w:t xml:space="preserve">anuscriptology and particularly to the documentation of Assam's manuscript heritage, which remains comparatively under-studied. It should prove useful to students and early-career researchers seeking a grounded introduction to the field, as well as to specialists working on </w:t>
      </w:r>
      <w:proofErr w:type="spellStart"/>
      <w:r w:rsidR="009A106C" w:rsidRPr="00D73F87">
        <w:rPr>
          <w:rFonts w:ascii="Times New Roman" w:hAnsi="Times New Roman" w:cs="Times New Roman"/>
          <w:i/>
          <w:iCs/>
          <w:sz w:val="24"/>
          <w:szCs w:val="24"/>
        </w:rPr>
        <w:t>Sāc</w:t>
      </w:r>
      <w:r w:rsidR="00D73F87" w:rsidRPr="00D73F87">
        <w:rPr>
          <w:rFonts w:ascii="Times New Roman" w:hAnsi="Times New Roman" w:cs="Times New Roman"/>
          <w:i/>
          <w:iCs/>
          <w:sz w:val="24"/>
          <w:szCs w:val="24"/>
        </w:rPr>
        <w:t>ipāt</w:t>
      </w:r>
      <w:proofErr w:type="spellEnd"/>
      <w:r w:rsidRPr="00C310D3">
        <w:rPr>
          <w:rFonts w:ascii="Times New Roman" w:hAnsi="Times New Roman" w:cs="Times New Roman"/>
          <w:sz w:val="24"/>
          <w:szCs w:val="24"/>
        </w:rPr>
        <w:t xml:space="preserve"> and </w:t>
      </w:r>
      <w:proofErr w:type="spellStart"/>
      <w:r w:rsidRPr="00C310D3">
        <w:rPr>
          <w:rFonts w:ascii="Times New Roman" w:hAnsi="Times New Roman" w:cs="Times New Roman"/>
          <w:sz w:val="24"/>
          <w:szCs w:val="24"/>
        </w:rPr>
        <w:t>Grantha</w:t>
      </w:r>
      <w:proofErr w:type="spellEnd"/>
      <w:r w:rsidRPr="00C310D3">
        <w:rPr>
          <w:rFonts w:ascii="Times New Roman" w:hAnsi="Times New Roman" w:cs="Times New Roman"/>
          <w:sz w:val="24"/>
          <w:szCs w:val="24"/>
        </w:rPr>
        <w:t xml:space="preserve"> traditions. </w:t>
      </w:r>
      <w:r w:rsidR="00691B8B" w:rsidRPr="00691B8B">
        <w:rPr>
          <w:rFonts w:ascii="Times New Roman" w:hAnsi="Times New Roman" w:cs="Times New Roman"/>
          <w:sz w:val="24"/>
          <w:szCs w:val="24"/>
        </w:rPr>
        <w:t>The editors and contributors are to be commended for turning a week-long workshop into a resource with lasting scholarly value, and one looks forward to further volumes from this initiative in the years to come.</w:t>
      </w:r>
      <w:r w:rsidR="00CF12A2">
        <w:rPr>
          <w:rFonts w:ascii="Times New Roman" w:hAnsi="Times New Roman" w:cs="Times New Roman"/>
          <w:sz w:val="24"/>
          <w:szCs w:val="24"/>
        </w:rPr>
        <w:t xml:space="preserve">   </w:t>
      </w:r>
    </w:p>
    <w:p w14:paraId="54393EBB" w14:textId="77777777" w:rsidR="00F41E85" w:rsidRDefault="00F41E85" w:rsidP="00F41E85">
      <w:pPr>
        <w:spacing w:line="360" w:lineRule="auto"/>
        <w:jc w:val="right"/>
        <w:rPr>
          <w:rFonts w:ascii="Times New Roman" w:hAnsi="Times New Roman" w:cs="Times New Roman"/>
          <w:sz w:val="20"/>
          <w:szCs w:val="20"/>
        </w:rPr>
      </w:pPr>
    </w:p>
    <w:p w14:paraId="7DA09BB2" w14:textId="5872335B" w:rsidR="00C310D3" w:rsidRDefault="00CF12A2" w:rsidP="00CF12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DE7A99F" w14:textId="77777777" w:rsidR="00CF12A2" w:rsidRPr="00C310D3" w:rsidRDefault="00CF12A2" w:rsidP="00CF12A2">
      <w:pPr>
        <w:spacing w:line="360" w:lineRule="auto"/>
        <w:jc w:val="both"/>
        <w:rPr>
          <w:rFonts w:ascii="Times New Roman" w:hAnsi="Times New Roman" w:cs="Times New Roman"/>
          <w:sz w:val="24"/>
          <w:szCs w:val="24"/>
        </w:rPr>
      </w:pPr>
    </w:p>
    <w:p w14:paraId="158202FD" w14:textId="03CC1091" w:rsidR="00C310D3" w:rsidRPr="00C310D3" w:rsidRDefault="00C310D3" w:rsidP="00CF12A2">
      <w:pPr>
        <w:spacing w:line="360" w:lineRule="auto"/>
        <w:jc w:val="both"/>
        <w:rPr>
          <w:rFonts w:ascii="Times New Roman" w:hAnsi="Times New Roman" w:cs="Times New Roman"/>
          <w:sz w:val="24"/>
          <w:szCs w:val="24"/>
        </w:rPr>
      </w:pPr>
    </w:p>
    <w:p w14:paraId="70714977" w14:textId="77777777" w:rsidR="00C310D3" w:rsidRPr="00471F2B" w:rsidRDefault="00C310D3" w:rsidP="00CF12A2">
      <w:pPr>
        <w:spacing w:line="360" w:lineRule="auto"/>
        <w:jc w:val="both"/>
        <w:rPr>
          <w:rFonts w:ascii="Times New Roman" w:hAnsi="Times New Roman" w:cs="Times New Roman"/>
          <w:sz w:val="24"/>
          <w:szCs w:val="24"/>
        </w:rPr>
      </w:pPr>
    </w:p>
    <w:p w14:paraId="2B9F11AE" w14:textId="77777777" w:rsidR="00086C43" w:rsidRPr="00086C43" w:rsidRDefault="00086C43" w:rsidP="00CF12A2">
      <w:pPr>
        <w:spacing w:line="360" w:lineRule="auto"/>
        <w:jc w:val="both"/>
        <w:rPr>
          <w:rFonts w:ascii="Times New Roman" w:hAnsi="Times New Roman" w:cs="Times New Roman"/>
          <w:sz w:val="24"/>
          <w:szCs w:val="24"/>
        </w:rPr>
      </w:pPr>
    </w:p>
    <w:sectPr w:rsidR="00086C43" w:rsidRPr="00086C4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9DA2A" w14:textId="77777777" w:rsidR="001418DE" w:rsidRDefault="001418DE" w:rsidP="00CF12A2">
      <w:pPr>
        <w:spacing w:after="0" w:line="240" w:lineRule="auto"/>
      </w:pPr>
      <w:r>
        <w:separator/>
      </w:r>
    </w:p>
  </w:endnote>
  <w:endnote w:type="continuationSeparator" w:id="0">
    <w:p w14:paraId="02080B84" w14:textId="77777777" w:rsidR="001418DE" w:rsidRDefault="001418DE" w:rsidP="00CF1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776131"/>
      <w:docPartObj>
        <w:docPartGallery w:val="Page Numbers (Bottom of Page)"/>
        <w:docPartUnique/>
      </w:docPartObj>
    </w:sdtPr>
    <w:sdtEndPr>
      <w:rPr>
        <w:noProof/>
      </w:rPr>
    </w:sdtEndPr>
    <w:sdtContent>
      <w:p w14:paraId="25B71761" w14:textId="718B8F52" w:rsidR="00CF12A2" w:rsidRDefault="00CF12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123FBE" w14:textId="77777777" w:rsidR="00CF12A2" w:rsidRDefault="00CF1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41E21" w14:textId="77777777" w:rsidR="001418DE" w:rsidRDefault="001418DE" w:rsidP="00CF12A2">
      <w:pPr>
        <w:spacing w:after="0" w:line="240" w:lineRule="auto"/>
      </w:pPr>
      <w:r>
        <w:separator/>
      </w:r>
    </w:p>
  </w:footnote>
  <w:footnote w:type="continuationSeparator" w:id="0">
    <w:p w14:paraId="6CBB08EE" w14:textId="77777777" w:rsidR="001418DE" w:rsidRDefault="001418DE" w:rsidP="00CF12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0FB"/>
    <w:rsid w:val="00034723"/>
    <w:rsid w:val="00052720"/>
    <w:rsid w:val="00086C43"/>
    <w:rsid w:val="000A2C56"/>
    <w:rsid w:val="000C4F5A"/>
    <w:rsid w:val="000E24D3"/>
    <w:rsid w:val="001418DE"/>
    <w:rsid w:val="00162771"/>
    <w:rsid w:val="001803EF"/>
    <w:rsid w:val="0019778C"/>
    <w:rsid w:val="00200326"/>
    <w:rsid w:val="00255A42"/>
    <w:rsid w:val="0027088C"/>
    <w:rsid w:val="002A2460"/>
    <w:rsid w:val="002F3EDF"/>
    <w:rsid w:val="003D3DD4"/>
    <w:rsid w:val="00444626"/>
    <w:rsid w:val="004558BC"/>
    <w:rsid w:val="00460D74"/>
    <w:rsid w:val="00471F2B"/>
    <w:rsid w:val="00483FCA"/>
    <w:rsid w:val="00494681"/>
    <w:rsid w:val="004D77BB"/>
    <w:rsid w:val="00550E09"/>
    <w:rsid w:val="005A1323"/>
    <w:rsid w:val="005B39F8"/>
    <w:rsid w:val="005F3930"/>
    <w:rsid w:val="0062454A"/>
    <w:rsid w:val="00691B8B"/>
    <w:rsid w:val="007A287F"/>
    <w:rsid w:val="007B50D4"/>
    <w:rsid w:val="007D75A5"/>
    <w:rsid w:val="007E530C"/>
    <w:rsid w:val="00805B72"/>
    <w:rsid w:val="00820D12"/>
    <w:rsid w:val="008343B1"/>
    <w:rsid w:val="008564CF"/>
    <w:rsid w:val="008A39D9"/>
    <w:rsid w:val="008D70FB"/>
    <w:rsid w:val="009138DB"/>
    <w:rsid w:val="009175C4"/>
    <w:rsid w:val="009452A0"/>
    <w:rsid w:val="00954982"/>
    <w:rsid w:val="00957905"/>
    <w:rsid w:val="009A106C"/>
    <w:rsid w:val="009A7D31"/>
    <w:rsid w:val="009F2221"/>
    <w:rsid w:val="00A5061E"/>
    <w:rsid w:val="00A9148C"/>
    <w:rsid w:val="00AA1E86"/>
    <w:rsid w:val="00B66D91"/>
    <w:rsid w:val="00BE3A39"/>
    <w:rsid w:val="00C310D3"/>
    <w:rsid w:val="00C57C28"/>
    <w:rsid w:val="00C64E3F"/>
    <w:rsid w:val="00C8542C"/>
    <w:rsid w:val="00C8604C"/>
    <w:rsid w:val="00CF12A2"/>
    <w:rsid w:val="00D01B82"/>
    <w:rsid w:val="00D73F87"/>
    <w:rsid w:val="00D84822"/>
    <w:rsid w:val="00DA2AF2"/>
    <w:rsid w:val="00E13F83"/>
    <w:rsid w:val="00E271B2"/>
    <w:rsid w:val="00E730F4"/>
    <w:rsid w:val="00EC1AB3"/>
    <w:rsid w:val="00EC2171"/>
    <w:rsid w:val="00ED48EB"/>
    <w:rsid w:val="00F41E85"/>
    <w:rsid w:val="00F67DE2"/>
    <w:rsid w:val="00F811C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41991"/>
  <w15:chartTrackingRefBased/>
  <w15:docId w15:val="{037CC2BE-C3B3-44ED-BE9D-B558C8071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70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70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70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70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70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70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70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70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70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0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70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70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70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70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70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70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70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70FB"/>
    <w:rPr>
      <w:rFonts w:eastAsiaTheme="majorEastAsia" w:cstheme="majorBidi"/>
      <w:color w:val="272727" w:themeColor="text1" w:themeTint="D8"/>
    </w:rPr>
  </w:style>
  <w:style w:type="paragraph" w:styleId="Title">
    <w:name w:val="Title"/>
    <w:basedOn w:val="Normal"/>
    <w:next w:val="Normal"/>
    <w:link w:val="TitleChar"/>
    <w:uiPriority w:val="10"/>
    <w:qFormat/>
    <w:rsid w:val="008D70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70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70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70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70FB"/>
    <w:pPr>
      <w:spacing w:before="160"/>
      <w:jc w:val="center"/>
    </w:pPr>
    <w:rPr>
      <w:i/>
      <w:iCs/>
      <w:color w:val="404040" w:themeColor="text1" w:themeTint="BF"/>
    </w:rPr>
  </w:style>
  <w:style w:type="character" w:customStyle="1" w:styleId="QuoteChar">
    <w:name w:val="Quote Char"/>
    <w:basedOn w:val="DefaultParagraphFont"/>
    <w:link w:val="Quote"/>
    <w:uiPriority w:val="29"/>
    <w:rsid w:val="008D70FB"/>
    <w:rPr>
      <w:i/>
      <w:iCs/>
      <w:color w:val="404040" w:themeColor="text1" w:themeTint="BF"/>
    </w:rPr>
  </w:style>
  <w:style w:type="paragraph" w:styleId="ListParagraph">
    <w:name w:val="List Paragraph"/>
    <w:basedOn w:val="Normal"/>
    <w:uiPriority w:val="34"/>
    <w:qFormat/>
    <w:rsid w:val="008D70FB"/>
    <w:pPr>
      <w:ind w:left="720"/>
      <w:contextualSpacing/>
    </w:pPr>
  </w:style>
  <w:style w:type="character" w:styleId="IntenseEmphasis">
    <w:name w:val="Intense Emphasis"/>
    <w:basedOn w:val="DefaultParagraphFont"/>
    <w:uiPriority w:val="21"/>
    <w:qFormat/>
    <w:rsid w:val="008D70FB"/>
    <w:rPr>
      <w:i/>
      <w:iCs/>
      <w:color w:val="2F5496" w:themeColor="accent1" w:themeShade="BF"/>
    </w:rPr>
  </w:style>
  <w:style w:type="paragraph" w:styleId="IntenseQuote">
    <w:name w:val="Intense Quote"/>
    <w:basedOn w:val="Normal"/>
    <w:next w:val="Normal"/>
    <w:link w:val="IntenseQuoteChar"/>
    <w:uiPriority w:val="30"/>
    <w:qFormat/>
    <w:rsid w:val="008D70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70FB"/>
    <w:rPr>
      <w:i/>
      <w:iCs/>
      <w:color w:val="2F5496" w:themeColor="accent1" w:themeShade="BF"/>
    </w:rPr>
  </w:style>
  <w:style w:type="character" w:styleId="IntenseReference">
    <w:name w:val="Intense Reference"/>
    <w:basedOn w:val="DefaultParagraphFont"/>
    <w:uiPriority w:val="32"/>
    <w:qFormat/>
    <w:rsid w:val="008D70FB"/>
    <w:rPr>
      <w:b/>
      <w:bCs/>
      <w:smallCaps/>
      <w:color w:val="2F5496" w:themeColor="accent1" w:themeShade="BF"/>
      <w:spacing w:val="5"/>
    </w:rPr>
  </w:style>
  <w:style w:type="paragraph" w:styleId="Header">
    <w:name w:val="header"/>
    <w:basedOn w:val="Normal"/>
    <w:link w:val="HeaderChar"/>
    <w:uiPriority w:val="99"/>
    <w:unhideWhenUsed/>
    <w:rsid w:val="00CF12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2A2"/>
  </w:style>
  <w:style w:type="paragraph" w:styleId="Footer">
    <w:name w:val="footer"/>
    <w:basedOn w:val="Normal"/>
    <w:link w:val="FooterChar"/>
    <w:uiPriority w:val="99"/>
    <w:unhideWhenUsed/>
    <w:rsid w:val="00CF12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1647</Words>
  <Characters>9390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Ashlesha Goswami</dc:creator>
  <cp:keywords/>
  <dc:description/>
  <cp:lastModifiedBy>manashi2k@gmail.com</cp:lastModifiedBy>
  <cp:revision>5</cp:revision>
  <dcterms:created xsi:type="dcterms:W3CDTF">2026-08-13T08:25:00Z</dcterms:created>
  <dcterms:modified xsi:type="dcterms:W3CDTF">2026-08-21T14:26:00Z</dcterms:modified>
</cp:coreProperties>
</file>